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tabs>
          <w:tab w:val="left" w:pos="6669"/>
        </w:tabs>
        <w:spacing w:beforeLines="0" w:afterLines="0"/>
        <w:ind w:left="198"/>
        <w:jc w:val="center"/>
        <w:rPr>
          <w:rFonts w:hint="eastAsia" w:ascii="宋体" w:hAnsi="宋体" w:eastAsia="宋体" w:cs="宋体"/>
          <w:kern w:val="2"/>
          <w:sz w:val="44"/>
          <w:szCs w:val="44"/>
        </w:rPr>
      </w:pPr>
    </w:p>
    <w:p>
      <w:pPr>
        <w:keepNext/>
        <w:keepLines/>
        <w:tabs>
          <w:tab w:val="left" w:pos="6669"/>
        </w:tabs>
        <w:spacing w:beforeLines="0" w:afterLines="0"/>
        <w:ind w:left="198"/>
        <w:jc w:val="center"/>
        <w:rPr>
          <w:rFonts w:hint="eastAsia" w:ascii="宋体" w:hAnsi="宋体" w:eastAsia="宋体" w:cs="宋体"/>
          <w:kern w:val="2"/>
          <w:sz w:val="44"/>
          <w:szCs w:val="44"/>
        </w:rPr>
      </w:pPr>
    </w:p>
    <w:p>
      <w:pPr>
        <w:keepNext/>
        <w:keepLines/>
        <w:tabs>
          <w:tab w:val="left" w:pos="6669"/>
        </w:tabs>
        <w:spacing w:beforeLines="0" w:afterLines="0"/>
        <w:ind w:left="198"/>
        <w:jc w:val="center"/>
        <w:rPr>
          <w:rFonts w:hint="eastAsia" w:ascii="宋体" w:hAnsi="宋体" w:eastAsia="宋体" w:cs="宋体"/>
          <w:kern w:val="2"/>
          <w:sz w:val="44"/>
          <w:szCs w:val="44"/>
        </w:rPr>
      </w:pPr>
      <w:r>
        <w:rPr>
          <w:rFonts w:hint="eastAsia" w:ascii="宋体" w:hAnsi="宋体" w:eastAsia="宋体" w:cs="宋体"/>
          <w:kern w:val="2"/>
          <w:sz w:val="44"/>
          <w:szCs w:val="44"/>
        </w:rPr>
        <w:t>2022年度内蒙古自治区巴彦淖尔市</w:t>
      </w:r>
    </w:p>
    <w:p>
      <w:pPr>
        <w:keepNext/>
        <w:keepLines/>
        <w:tabs>
          <w:tab w:val="left" w:pos="6669"/>
        </w:tabs>
        <w:spacing w:beforeLines="0" w:afterLines="0"/>
        <w:ind w:left="198"/>
        <w:jc w:val="center"/>
        <w:rPr>
          <w:rFonts w:hint="eastAsia" w:ascii="宋体" w:hAnsi="宋体" w:eastAsia="宋体" w:cs="宋体"/>
          <w:b/>
          <w:kern w:val="2"/>
          <w:sz w:val="44"/>
          <w:szCs w:val="44"/>
        </w:rPr>
      </w:pPr>
      <w:r>
        <w:rPr>
          <w:rFonts w:hint="eastAsia" w:ascii="宋体" w:hAnsi="宋体" w:eastAsia="宋体" w:cs="宋体"/>
          <w:kern w:val="2"/>
          <w:sz w:val="44"/>
          <w:szCs w:val="44"/>
        </w:rPr>
        <w:t>财政局部门决算公开</w:t>
      </w:r>
    </w:p>
    <w:p>
      <w:pPr>
        <w:spacing w:beforeLines="0" w:afterLines="0"/>
        <w:jc w:val="both"/>
        <w:rPr>
          <w:rFonts w:hint="eastAsia" w:ascii="宋体" w:hAnsi="宋体" w:eastAsia="宋体" w:cs="宋体"/>
          <w:kern w:val="2"/>
          <w:sz w:val="44"/>
          <w:szCs w:val="44"/>
        </w:rPr>
      </w:pPr>
    </w:p>
    <w:p>
      <w:pPr>
        <w:spacing w:beforeLines="0" w:after="120" w:afterLines="0"/>
        <w:ind w:left="420" w:firstLine="420"/>
        <w:jc w:val="both"/>
        <w:rPr>
          <w:rFonts w:hint="eastAsia" w:ascii="宋体" w:hAnsi="宋体" w:eastAsia="宋体" w:cs="宋体"/>
          <w:kern w:val="2"/>
          <w:sz w:val="44"/>
          <w:szCs w:val="44"/>
        </w:rPr>
      </w:pPr>
    </w:p>
    <w:p>
      <w:pPr>
        <w:spacing w:beforeLines="0" w:after="120" w:afterLines="0"/>
        <w:ind w:left="420" w:firstLine="420"/>
        <w:jc w:val="both"/>
        <w:rPr>
          <w:rFonts w:hint="default" w:ascii="Times New Roman" w:hAnsi="Times New Roman" w:eastAsia="Times New Roman"/>
          <w:kern w:val="2"/>
          <w:sz w:val="21"/>
          <w:szCs w:val="24"/>
        </w:rPr>
      </w:pPr>
    </w:p>
    <w:p>
      <w:pPr>
        <w:spacing w:beforeLines="0" w:after="120" w:afterLines="0"/>
        <w:ind w:left="420" w:firstLine="420"/>
        <w:jc w:val="both"/>
        <w:rPr>
          <w:rFonts w:hint="default" w:ascii="Times New Roman" w:hAnsi="Times New Roman" w:eastAsia="Times New Roman"/>
          <w:kern w:val="2"/>
          <w:sz w:val="21"/>
          <w:szCs w:val="24"/>
        </w:rPr>
      </w:pPr>
    </w:p>
    <w:p>
      <w:pPr>
        <w:spacing w:beforeLines="0" w:after="120" w:afterLines="0"/>
        <w:ind w:left="420" w:firstLine="420"/>
        <w:jc w:val="both"/>
        <w:rPr>
          <w:rFonts w:hint="default" w:ascii="Times New Roman" w:hAnsi="Times New Roman" w:eastAsia="Times New Roman"/>
          <w:kern w:val="2"/>
          <w:sz w:val="21"/>
          <w:szCs w:val="24"/>
        </w:rPr>
      </w:pPr>
    </w:p>
    <w:p>
      <w:pPr>
        <w:spacing w:beforeLines="0" w:after="120" w:afterLines="0"/>
        <w:ind w:left="420" w:firstLine="420"/>
        <w:jc w:val="both"/>
        <w:rPr>
          <w:rFonts w:hint="default" w:ascii="Times New Roman" w:hAnsi="Times New Roman" w:eastAsia="Times New Roman"/>
          <w:kern w:val="2"/>
          <w:sz w:val="21"/>
          <w:szCs w:val="24"/>
        </w:rPr>
      </w:pPr>
    </w:p>
    <w:p>
      <w:pPr>
        <w:spacing w:beforeLines="0" w:after="120" w:afterLines="0"/>
        <w:ind w:left="420" w:firstLine="420"/>
        <w:jc w:val="both"/>
        <w:rPr>
          <w:rFonts w:hint="default" w:ascii="Times New Roman" w:hAnsi="Times New Roman" w:eastAsia="Times New Roman"/>
          <w:kern w:val="2"/>
          <w:sz w:val="21"/>
          <w:szCs w:val="24"/>
        </w:rPr>
      </w:pPr>
    </w:p>
    <w:p>
      <w:pPr>
        <w:spacing w:beforeLines="0" w:after="120" w:afterLines="0"/>
        <w:ind w:left="420" w:firstLine="420"/>
        <w:jc w:val="both"/>
        <w:rPr>
          <w:rFonts w:hint="default" w:ascii="Times New Roman" w:hAnsi="Times New Roman" w:eastAsia="Times New Roman"/>
          <w:kern w:val="2"/>
          <w:sz w:val="21"/>
          <w:szCs w:val="24"/>
        </w:rPr>
      </w:pPr>
    </w:p>
    <w:p>
      <w:pPr>
        <w:spacing w:beforeLines="0" w:after="120" w:afterLines="0"/>
        <w:ind w:left="420" w:firstLine="420"/>
        <w:jc w:val="both"/>
        <w:rPr>
          <w:rFonts w:hint="default" w:ascii="Times New Roman" w:hAnsi="Times New Roman" w:eastAsia="Times New Roman"/>
          <w:kern w:val="2"/>
          <w:sz w:val="21"/>
          <w:szCs w:val="24"/>
        </w:rPr>
      </w:pPr>
    </w:p>
    <w:p>
      <w:pPr>
        <w:spacing w:beforeLines="0" w:after="120" w:afterLines="0"/>
        <w:ind w:left="420" w:firstLine="420"/>
        <w:jc w:val="both"/>
        <w:rPr>
          <w:rFonts w:hint="default" w:ascii="Times New Roman" w:hAnsi="Times New Roman" w:eastAsia="Times New Roman"/>
          <w:kern w:val="2"/>
          <w:sz w:val="21"/>
          <w:szCs w:val="24"/>
        </w:rPr>
      </w:pPr>
    </w:p>
    <w:p>
      <w:pPr>
        <w:spacing w:beforeLines="0" w:after="120" w:afterLines="0"/>
        <w:ind w:left="420" w:firstLine="420"/>
        <w:jc w:val="both"/>
        <w:rPr>
          <w:rFonts w:hint="default" w:ascii="Times New Roman" w:hAnsi="Times New Roman" w:eastAsia="Times New Roman"/>
          <w:kern w:val="2"/>
          <w:sz w:val="21"/>
          <w:szCs w:val="24"/>
        </w:rPr>
      </w:pPr>
    </w:p>
    <w:p>
      <w:pPr>
        <w:spacing w:beforeLines="0" w:after="120" w:afterLines="0"/>
        <w:ind w:left="420" w:firstLine="420"/>
        <w:jc w:val="both"/>
        <w:rPr>
          <w:rFonts w:hint="default" w:ascii="Times New Roman" w:hAnsi="Times New Roman" w:eastAsia="Times New Roman"/>
          <w:kern w:val="2"/>
          <w:sz w:val="21"/>
          <w:szCs w:val="24"/>
        </w:rPr>
      </w:pPr>
    </w:p>
    <w:p>
      <w:pPr>
        <w:spacing w:beforeLines="0" w:after="120" w:afterLines="0"/>
        <w:ind w:left="420" w:firstLine="420"/>
        <w:jc w:val="both"/>
        <w:rPr>
          <w:rFonts w:hint="default" w:ascii="Times New Roman" w:hAnsi="Times New Roman" w:eastAsia="Times New Roman"/>
          <w:kern w:val="2"/>
          <w:sz w:val="21"/>
          <w:szCs w:val="24"/>
        </w:rPr>
      </w:pPr>
    </w:p>
    <w:p>
      <w:pPr>
        <w:spacing w:beforeLines="0" w:after="120" w:afterLines="0"/>
        <w:ind w:left="420" w:firstLine="420"/>
        <w:jc w:val="both"/>
        <w:rPr>
          <w:rFonts w:hint="default" w:ascii="Times New Roman" w:hAnsi="Times New Roman" w:eastAsia="Times New Roman"/>
          <w:kern w:val="2"/>
          <w:sz w:val="21"/>
          <w:szCs w:val="24"/>
        </w:rPr>
      </w:pPr>
    </w:p>
    <w:p>
      <w:pPr>
        <w:spacing w:beforeLines="0" w:after="120" w:afterLines="0"/>
        <w:ind w:left="420" w:firstLine="420"/>
        <w:jc w:val="both"/>
        <w:rPr>
          <w:rFonts w:hint="default" w:ascii="Times New Roman" w:hAnsi="Times New Roman" w:eastAsia="Times New Roman"/>
          <w:kern w:val="2"/>
          <w:sz w:val="21"/>
          <w:szCs w:val="24"/>
        </w:rPr>
      </w:pPr>
    </w:p>
    <w:p>
      <w:pPr>
        <w:spacing w:beforeLines="0" w:after="120" w:afterLines="0"/>
        <w:ind w:left="420" w:firstLine="420"/>
        <w:jc w:val="both"/>
        <w:rPr>
          <w:rFonts w:hint="default" w:ascii="Times New Roman" w:hAnsi="Times New Roman" w:eastAsia="Times New Roman"/>
          <w:kern w:val="2"/>
          <w:sz w:val="21"/>
          <w:szCs w:val="24"/>
        </w:rPr>
      </w:pPr>
    </w:p>
    <w:p>
      <w:pPr>
        <w:spacing w:beforeLines="0" w:after="120" w:afterLines="0"/>
        <w:ind w:left="420" w:firstLine="420"/>
        <w:jc w:val="both"/>
        <w:rPr>
          <w:rFonts w:hint="default" w:ascii="Times New Roman" w:hAnsi="Times New Roman" w:eastAsia="Times New Roman"/>
          <w:kern w:val="2"/>
          <w:sz w:val="21"/>
          <w:szCs w:val="24"/>
        </w:rPr>
      </w:pPr>
    </w:p>
    <w:p>
      <w:pPr>
        <w:spacing w:beforeLines="0" w:after="120" w:afterLines="0"/>
        <w:ind w:left="420" w:firstLine="420"/>
        <w:jc w:val="both"/>
        <w:rPr>
          <w:rFonts w:hint="default" w:ascii="Times New Roman" w:hAnsi="Times New Roman" w:eastAsia="Times New Roman"/>
          <w:kern w:val="2"/>
          <w:sz w:val="21"/>
          <w:szCs w:val="24"/>
        </w:rPr>
      </w:pPr>
    </w:p>
    <w:p>
      <w:pPr>
        <w:spacing w:before="3" w:beforeLines="0" w:after="120" w:afterLines="0"/>
        <w:jc w:val="both"/>
        <w:rPr>
          <w:rFonts w:hint="eastAsia" w:ascii="仿宋_GB2312" w:hAnsi="仿宋_GB2312" w:eastAsia="仿宋_GB2312"/>
          <w:color w:val="0000FF"/>
          <w:kern w:val="2"/>
          <w:sz w:val="32"/>
          <w:szCs w:val="24"/>
        </w:rPr>
      </w:pPr>
    </w:p>
    <w:p>
      <w:pPr>
        <w:spacing w:before="3" w:beforeLines="0" w:after="120" w:afterLines="0"/>
        <w:ind w:firstLine="200"/>
        <w:jc w:val="both"/>
        <w:rPr>
          <w:rFonts w:hint="eastAsia" w:ascii="仿宋_GB2312" w:hAnsi="仿宋_GB2312" w:eastAsia="仿宋_GB2312"/>
          <w:color w:val="0000FF"/>
          <w:kern w:val="2"/>
          <w:sz w:val="32"/>
          <w:szCs w:val="24"/>
        </w:rPr>
      </w:pPr>
    </w:p>
    <w:p>
      <w:pPr>
        <w:spacing w:before="3" w:beforeLines="0" w:after="120" w:afterLines="0"/>
        <w:ind w:firstLine="200"/>
        <w:jc w:val="both"/>
        <w:rPr>
          <w:rFonts w:hint="default" w:ascii="Times New Roman" w:hAnsi="Times New Roman" w:eastAsia="Times New Roman"/>
          <w:color w:val="auto"/>
          <w:kern w:val="2"/>
          <w:sz w:val="10"/>
          <w:szCs w:val="24"/>
        </w:rPr>
      </w:pPr>
    </w:p>
    <w:p>
      <w:pPr>
        <w:spacing w:beforeLines="0" w:afterLines="0"/>
        <w:jc w:val="center"/>
        <w:rPr>
          <w:rFonts w:hint="default" w:ascii="Times New Roman" w:hAnsi="Times New Roman" w:eastAsia="Times New Roman"/>
          <w:b/>
          <w:color w:val="auto"/>
          <w:kern w:val="2"/>
          <w:sz w:val="48"/>
          <w:szCs w:val="24"/>
        </w:rPr>
      </w:pPr>
      <w:r>
        <w:rPr>
          <w:rFonts w:hint="default" w:ascii="Courier New" w:hAnsi="Courier New" w:eastAsia="Times New Roman"/>
          <w:b/>
          <w:color w:val="auto"/>
          <w:kern w:val="2"/>
          <w:sz w:val="48"/>
          <w:szCs w:val="24"/>
        </w:rPr>
        <w:t>目</w:t>
      </w:r>
      <w:r>
        <w:rPr>
          <w:rFonts w:hint="default" w:ascii="Times New Roman" w:hAnsi="Times New Roman" w:eastAsia="Times New Roman"/>
          <w:b/>
          <w:color w:val="auto"/>
          <w:kern w:val="2"/>
          <w:sz w:val="48"/>
          <w:szCs w:val="24"/>
        </w:rPr>
        <w:tab/>
      </w:r>
      <w:r>
        <w:rPr>
          <w:rFonts w:hint="default" w:ascii="Courier New" w:hAnsi="Courier New" w:eastAsia="Times New Roman"/>
          <w:b/>
          <w:color w:val="auto"/>
          <w:kern w:val="2"/>
          <w:sz w:val="48"/>
          <w:szCs w:val="24"/>
        </w:rPr>
        <w:t>录</w:t>
      </w:r>
    </w:p>
    <w:p>
      <w:pPr>
        <w:spacing w:beforeLines="0" w:afterLines="0" w:line="360" w:lineRule="auto"/>
        <w:jc w:val="both"/>
        <w:rPr>
          <w:rFonts w:hint="default" w:ascii="Times New Roman" w:hAnsi="Times New Roman" w:eastAsia="Times New Roman"/>
          <w:color w:val="auto"/>
          <w:kern w:val="2"/>
          <w:sz w:val="32"/>
          <w:szCs w:val="24"/>
        </w:rPr>
      </w:pPr>
      <w:r>
        <w:rPr>
          <w:rFonts w:hint="eastAsia" w:ascii="黑体" w:hAnsi="黑体" w:eastAsia="黑体"/>
          <w:color w:val="auto"/>
          <w:kern w:val="2"/>
          <w:sz w:val="32"/>
          <w:szCs w:val="24"/>
        </w:rPr>
        <w:t>第一部分 部门概况</w:t>
      </w:r>
    </w:p>
    <w:p>
      <w:pPr>
        <w:spacing w:beforeLines="0" w:afterLines="0" w:line="360" w:lineRule="auto"/>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一、主要职能、职责</w:t>
      </w:r>
    </w:p>
    <w:p>
      <w:pPr>
        <w:tabs>
          <w:tab w:val="left" w:pos="994"/>
        </w:tabs>
        <w:spacing w:before="6" w:beforeLines="0" w:after="120" w:afterLines="0" w:line="228" w:lineRule="auto"/>
        <w:ind w:right="1670"/>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二、部门机构设置及决算单位构成情况</w:t>
      </w:r>
    </w:p>
    <w:p>
      <w:pPr>
        <w:spacing w:beforeLines="0" w:afterLines="0" w:line="360" w:lineRule="auto"/>
        <w:jc w:val="both"/>
        <w:rPr>
          <w:rFonts w:hint="default" w:ascii="Times New Roman" w:hAnsi="Times New Roman" w:eastAsia="Times New Roman"/>
          <w:color w:val="auto"/>
          <w:kern w:val="2"/>
          <w:sz w:val="32"/>
          <w:szCs w:val="24"/>
        </w:rPr>
      </w:pPr>
      <w:r>
        <w:rPr>
          <w:rFonts w:hint="eastAsia" w:ascii="黑体" w:hAnsi="黑体" w:eastAsia="黑体"/>
          <w:color w:val="auto"/>
          <w:kern w:val="2"/>
          <w:sz w:val="32"/>
          <w:szCs w:val="24"/>
        </w:rPr>
        <w:t>第二部分 2022年度部门决算情况说明</w:t>
      </w:r>
    </w:p>
    <w:p>
      <w:pPr>
        <w:spacing w:beforeLines="0" w:afterLines="0" w:line="360" w:lineRule="auto"/>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一、收入支出决算总体情况说明</w:t>
      </w:r>
    </w:p>
    <w:p>
      <w:pPr>
        <w:spacing w:beforeLines="0" w:afterLines="0" w:line="360" w:lineRule="auto"/>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二、收入决算情况说明</w:t>
      </w:r>
    </w:p>
    <w:p>
      <w:pPr>
        <w:spacing w:beforeLines="0" w:afterLines="0" w:line="360" w:lineRule="auto"/>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三、支出决算情况说明</w:t>
      </w:r>
    </w:p>
    <w:p>
      <w:pPr>
        <w:spacing w:beforeLines="0" w:afterLines="0" w:line="360" w:lineRule="auto"/>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四、财政拨款收入支出决算总体情况说明</w:t>
      </w:r>
    </w:p>
    <w:p>
      <w:pPr>
        <w:spacing w:beforeLines="0" w:afterLines="0" w:line="360" w:lineRule="auto"/>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五、一般公共预算支出决算情况说明</w:t>
      </w:r>
    </w:p>
    <w:p>
      <w:pPr>
        <w:spacing w:beforeLines="0" w:afterLines="0" w:line="360" w:lineRule="auto"/>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六、一般公共预算基本支出决算情况说明</w:t>
      </w:r>
    </w:p>
    <w:p>
      <w:pPr>
        <w:spacing w:beforeLines="0" w:afterLines="0" w:line="360" w:lineRule="auto"/>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七、一般公共预算项目支出决算情况说明</w:t>
      </w:r>
    </w:p>
    <w:p>
      <w:pPr>
        <w:spacing w:beforeLines="0" w:afterLines="0" w:line="360" w:lineRule="auto"/>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八、财政拨款</w:t>
      </w:r>
      <w:r>
        <w:rPr>
          <w:rFonts w:hint="default" w:ascii="仿宋_GB2312" w:hAnsi="仿宋_GB2312" w:eastAsia="仿宋_GB2312"/>
          <w:color w:val="auto"/>
          <w:kern w:val="2"/>
          <w:sz w:val="32"/>
          <w:szCs w:val="24"/>
        </w:rPr>
        <w:t>“</w:t>
      </w:r>
      <w:r>
        <w:rPr>
          <w:rFonts w:hint="eastAsia" w:ascii="仿宋_GB2312" w:hAnsi="仿宋_GB2312" w:eastAsia="仿宋_GB2312"/>
          <w:color w:val="auto"/>
          <w:kern w:val="2"/>
          <w:sz w:val="32"/>
          <w:szCs w:val="24"/>
        </w:rPr>
        <w:t>三公</w:t>
      </w:r>
      <w:r>
        <w:rPr>
          <w:rFonts w:hint="default" w:ascii="仿宋_GB2312" w:hAnsi="仿宋_GB2312" w:eastAsia="仿宋_GB2312"/>
          <w:color w:val="auto"/>
          <w:kern w:val="2"/>
          <w:sz w:val="32"/>
          <w:szCs w:val="24"/>
        </w:rPr>
        <w:t>”</w:t>
      </w:r>
      <w:r>
        <w:rPr>
          <w:rFonts w:hint="eastAsia" w:ascii="仿宋_GB2312" w:hAnsi="仿宋_GB2312" w:eastAsia="仿宋_GB2312"/>
          <w:color w:val="auto"/>
          <w:kern w:val="2"/>
          <w:sz w:val="32"/>
          <w:szCs w:val="24"/>
        </w:rPr>
        <w:t>经费支出决算情况说明</w:t>
      </w:r>
    </w:p>
    <w:p>
      <w:pPr>
        <w:spacing w:beforeLines="0" w:afterLines="0" w:line="360" w:lineRule="auto"/>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九、政府性基金预算财政拨款支出决算情况说明</w:t>
      </w:r>
    </w:p>
    <w:p>
      <w:pPr>
        <w:spacing w:beforeLines="0" w:afterLines="0" w:line="360" w:lineRule="auto"/>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十、国有资本经营预算财政拨款支出决算情况说明</w:t>
      </w:r>
    </w:p>
    <w:p>
      <w:pPr>
        <w:spacing w:beforeLines="0" w:afterLines="0" w:line="360" w:lineRule="auto"/>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十一、项目支出决算情况说明</w:t>
      </w:r>
    </w:p>
    <w:p>
      <w:pPr>
        <w:spacing w:beforeLines="0" w:afterLines="0" w:line="360" w:lineRule="auto"/>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十二、机构运行经费支出决算情况说明</w:t>
      </w:r>
    </w:p>
    <w:p>
      <w:pPr>
        <w:spacing w:beforeLines="0" w:afterLines="0" w:line="360" w:lineRule="auto"/>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十三、政府采购支出决算情况说明</w:t>
      </w:r>
    </w:p>
    <w:p>
      <w:pPr>
        <w:spacing w:beforeLines="0" w:afterLines="0" w:line="360" w:lineRule="auto"/>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十四、国有资产占用情况说明</w:t>
      </w:r>
    </w:p>
    <w:p>
      <w:pPr>
        <w:spacing w:beforeLines="0" w:afterLines="0" w:line="360" w:lineRule="auto"/>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十五、预算绩效情况说明</w:t>
      </w:r>
    </w:p>
    <w:p>
      <w:pPr>
        <w:spacing w:beforeLines="0" w:afterLines="0" w:line="360" w:lineRule="auto"/>
        <w:jc w:val="both"/>
        <w:rPr>
          <w:rFonts w:hint="default" w:ascii="Times New Roman" w:hAnsi="Times New Roman" w:eastAsia="Times New Roman"/>
          <w:color w:val="auto"/>
          <w:kern w:val="2"/>
          <w:sz w:val="32"/>
          <w:szCs w:val="24"/>
        </w:rPr>
      </w:pPr>
      <w:r>
        <w:rPr>
          <w:rFonts w:hint="eastAsia" w:ascii="黑体" w:hAnsi="黑体" w:eastAsia="黑体"/>
          <w:color w:val="auto"/>
          <w:kern w:val="2"/>
          <w:sz w:val="32"/>
          <w:szCs w:val="24"/>
        </w:rPr>
        <w:t>第三部分 名词解释</w:t>
      </w:r>
    </w:p>
    <w:p>
      <w:pPr>
        <w:spacing w:beforeLines="0" w:afterLines="0" w:line="600" w:lineRule="exact"/>
        <w:jc w:val="both"/>
        <w:rPr>
          <w:rFonts w:hint="default" w:ascii="Times New Roman" w:hAnsi="Times New Roman" w:eastAsia="Times New Roman"/>
          <w:color w:val="auto"/>
          <w:kern w:val="2"/>
          <w:sz w:val="32"/>
          <w:szCs w:val="24"/>
        </w:rPr>
      </w:pPr>
      <w:r>
        <w:rPr>
          <w:rFonts w:hint="eastAsia" w:ascii="黑体" w:hAnsi="黑体" w:eastAsia="黑体"/>
          <w:color w:val="auto"/>
          <w:kern w:val="2"/>
          <w:sz w:val="32"/>
          <w:szCs w:val="24"/>
        </w:rPr>
        <w:t>第四部分 决算公开联系方式及信息反馈渠道</w:t>
      </w:r>
    </w:p>
    <w:p>
      <w:pPr>
        <w:spacing w:beforeLines="0" w:afterLines="0" w:line="360" w:lineRule="auto"/>
        <w:jc w:val="both"/>
        <w:rPr>
          <w:rFonts w:hint="default" w:ascii="Times New Roman" w:hAnsi="Times New Roman" w:eastAsia="Times New Roman"/>
          <w:color w:val="auto"/>
          <w:kern w:val="2"/>
          <w:sz w:val="32"/>
          <w:szCs w:val="24"/>
        </w:rPr>
      </w:pPr>
      <w:r>
        <w:rPr>
          <w:rFonts w:hint="eastAsia" w:ascii="黑体" w:hAnsi="黑体" w:eastAsia="黑体"/>
          <w:color w:val="auto"/>
          <w:kern w:val="2"/>
          <w:sz w:val="32"/>
          <w:szCs w:val="24"/>
        </w:rPr>
        <w:t>第五部分 2022年度部门决算表</w:t>
      </w:r>
    </w:p>
    <w:p>
      <w:pPr>
        <w:spacing w:beforeLines="0" w:afterLines="0" w:line="360" w:lineRule="auto"/>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一、收入支出决算总表</w:t>
      </w:r>
    </w:p>
    <w:p>
      <w:pPr>
        <w:spacing w:beforeLines="0" w:afterLines="0" w:line="360" w:lineRule="auto"/>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二、收入决算表</w:t>
      </w:r>
    </w:p>
    <w:p>
      <w:pPr>
        <w:spacing w:beforeLines="0" w:afterLines="0" w:line="360" w:lineRule="auto"/>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三、支出决算表</w:t>
      </w:r>
    </w:p>
    <w:p>
      <w:pPr>
        <w:spacing w:beforeLines="0" w:afterLines="0" w:line="360" w:lineRule="auto"/>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四、财政拨款收入支出决算总表</w:t>
      </w:r>
    </w:p>
    <w:p>
      <w:pPr>
        <w:spacing w:beforeLines="0" w:afterLines="0" w:line="360" w:lineRule="auto"/>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五、项目收入支出决算表</w:t>
      </w:r>
    </w:p>
    <w:p>
      <w:pPr>
        <w:spacing w:beforeLines="0" w:afterLines="0" w:line="360" w:lineRule="auto"/>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六、一般公共预算财政拨款支出决算表</w:t>
      </w:r>
    </w:p>
    <w:p>
      <w:pPr>
        <w:spacing w:beforeLines="0" w:afterLines="0" w:line="360" w:lineRule="auto"/>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七、一般公共预算财政拨款基本支出决算明细表</w:t>
      </w:r>
    </w:p>
    <w:p>
      <w:pPr>
        <w:spacing w:beforeLines="0" w:afterLines="0" w:line="360" w:lineRule="auto"/>
        <w:jc w:val="both"/>
        <w:rPr>
          <w:rFonts w:hint="default" w:ascii="Times New Roman" w:hAnsi="Times New Roman" w:eastAsia="Times New Roman"/>
          <w:color w:val="FF0000"/>
          <w:kern w:val="2"/>
          <w:sz w:val="32"/>
          <w:szCs w:val="24"/>
        </w:rPr>
      </w:pPr>
      <w:r>
        <w:rPr>
          <w:rFonts w:hint="eastAsia" w:ascii="仿宋_GB2312" w:hAnsi="仿宋_GB2312" w:eastAsia="仿宋_GB2312"/>
          <w:color w:val="000000"/>
          <w:kern w:val="2"/>
          <w:sz w:val="32"/>
          <w:szCs w:val="24"/>
        </w:rPr>
        <w:t>八、一般公共预算财政拨款项目支出决算明细表</w:t>
      </w:r>
    </w:p>
    <w:p>
      <w:pPr>
        <w:spacing w:beforeLines="0" w:afterLines="0" w:line="360" w:lineRule="auto"/>
        <w:jc w:val="both"/>
        <w:rPr>
          <w:rFonts w:hint="default" w:ascii="Times New Roman" w:hAnsi="Times New Roman" w:eastAsia="Times New Roman"/>
          <w:color w:val="000000"/>
          <w:kern w:val="2"/>
          <w:sz w:val="32"/>
          <w:szCs w:val="24"/>
        </w:rPr>
      </w:pPr>
      <w:r>
        <w:rPr>
          <w:rFonts w:hint="eastAsia" w:ascii="仿宋_GB2312" w:hAnsi="仿宋_GB2312" w:eastAsia="仿宋_GB2312"/>
          <w:color w:val="000000"/>
          <w:kern w:val="2"/>
          <w:sz w:val="32"/>
          <w:szCs w:val="24"/>
        </w:rPr>
        <w:t>九、政府性基金预算财政拨款收入支出决算表</w:t>
      </w:r>
    </w:p>
    <w:p>
      <w:pPr>
        <w:spacing w:beforeLines="0" w:afterLines="0" w:line="360" w:lineRule="auto"/>
        <w:jc w:val="both"/>
        <w:rPr>
          <w:rFonts w:hint="default" w:ascii="Times New Roman" w:hAnsi="Times New Roman" w:eastAsia="Times New Roman"/>
          <w:color w:val="000000"/>
          <w:kern w:val="2"/>
          <w:sz w:val="32"/>
          <w:szCs w:val="24"/>
        </w:rPr>
      </w:pPr>
      <w:r>
        <w:rPr>
          <w:rFonts w:hint="eastAsia" w:ascii="仿宋_GB2312" w:hAnsi="仿宋_GB2312" w:eastAsia="仿宋_GB2312"/>
          <w:color w:val="000000"/>
          <w:kern w:val="2"/>
          <w:sz w:val="32"/>
          <w:szCs w:val="24"/>
        </w:rPr>
        <w:t>十、国有资本经营预算财政拨款支出决算表</w:t>
      </w:r>
    </w:p>
    <w:p>
      <w:pPr>
        <w:spacing w:beforeLines="0" w:afterLines="0" w:line="360" w:lineRule="auto"/>
        <w:jc w:val="both"/>
        <w:rPr>
          <w:rFonts w:hint="default" w:ascii="Times New Roman" w:hAnsi="Times New Roman" w:eastAsia="Times New Roman"/>
          <w:color w:val="000000"/>
          <w:kern w:val="2"/>
          <w:sz w:val="32"/>
          <w:szCs w:val="24"/>
        </w:rPr>
      </w:pPr>
      <w:r>
        <w:rPr>
          <w:rFonts w:hint="eastAsia" w:ascii="仿宋_GB2312" w:hAnsi="仿宋_GB2312" w:eastAsia="仿宋_GB2312"/>
          <w:color w:val="000000"/>
          <w:kern w:val="2"/>
          <w:sz w:val="32"/>
          <w:szCs w:val="24"/>
        </w:rPr>
        <w:t>十一、财政拨款</w:t>
      </w:r>
      <w:r>
        <w:rPr>
          <w:rFonts w:hint="default" w:ascii="仿宋_GB2312" w:hAnsi="仿宋_GB2312" w:eastAsia="仿宋_GB2312"/>
          <w:color w:val="000000"/>
          <w:kern w:val="2"/>
          <w:sz w:val="32"/>
          <w:szCs w:val="24"/>
        </w:rPr>
        <w:t>“</w:t>
      </w:r>
      <w:r>
        <w:rPr>
          <w:rFonts w:hint="eastAsia" w:ascii="仿宋_GB2312" w:hAnsi="仿宋_GB2312" w:eastAsia="仿宋_GB2312"/>
          <w:color w:val="000000"/>
          <w:kern w:val="2"/>
          <w:sz w:val="32"/>
          <w:szCs w:val="24"/>
        </w:rPr>
        <w:t>三公</w:t>
      </w:r>
      <w:r>
        <w:rPr>
          <w:rFonts w:hint="default" w:ascii="仿宋_GB2312" w:hAnsi="仿宋_GB2312" w:eastAsia="仿宋_GB2312"/>
          <w:color w:val="000000"/>
          <w:kern w:val="2"/>
          <w:sz w:val="32"/>
          <w:szCs w:val="24"/>
        </w:rPr>
        <w:t>”</w:t>
      </w:r>
      <w:r>
        <w:rPr>
          <w:rFonts w:hint="eastAsia" w:ascii="仿宋_GB2312" w:hAnsi="仿宋_GB2312" w:eastAsia="仿宋_GB2312"/>
          <w:color w:val="000000"/>
          <w:kern w:val="2"/>
          <w:sz w:val="32"/>
          <w:szCs w:val="24"/>
        </w:rPr>
        <w:t>经费支出决算表</w:t>
      </w:r>
    </w:p>
    <w:p>
      <w:pPr>
        <w:spacing w:beforeLines="0" w:afterLines="0" w:line="360" w:lineRule="auto"/>
        <w:jc w:val="both"/>
        <w:rPr>
          <w:rFonts w:hint="default" w:ascii="Times New Roman" w:hAnsi="Times New Roman" w:eastAsia="Times New Roman"/>
          <w:color w:val="auto"/>
          <w:kern w:val="2"/>
          <w:sz w:val="32"/>
          <w:szCs w:val="24"/>
        </w:rPr>
      </w:pPr>
      <w:r>
        <w:rPr>
          <w:rFonts w:hint="eastAsia" w:ascii="仿宋_GB2312" w:hAnsi="仿宋_GB2312" w:eastAsia="仿宋_GB2312"/>
          <w:color w:val="000000"/>
          <w:kern w:val="2"/>
          <w:sz w:val="32"/>
          <w:szCs w:val="24"/>
        </w:rPr>
        <w:t>十二、机构运行经费支出、国有资产占用情况及政府采购支出信息表</w:t>
      </w:r>
    </w:p>
    <w:p>
      <w:pPr>
        <w:pStyle w:val="5"/>
        <w:keepNext/>
        <w:keepLines/>
        <w:tabs>
          <w:tab w:val="left" w:pos="4392"/>
        </w:tabs>
        <w:spacing w:beforeLines="0" w:afterLines="0" w:line="600" w:lineRule="exact"/>
        <w:jc w:val="center"/>
        <w:rPr>
          <w:rFonts w:hint="eastAsia" w:ascii="宋体" w:hAnsi="宋体" w:eastAsia="宋体" w:cs="宋体"/>
          <w:color w:val="auto"/>
          <w:kern w:val="2"/>
          <w:sz w:val="36"/>
          <w:szCs w:val="24"/>
        </w:rPr>
      </w:pPr>
      <w:r>
        <w:rPr>
          <w:rFonts w:hint="eastAsia" w:ascii="宋体" w:hAnsi="宋体" w:eastAsia="宋体" w:cs="宋体"/>
          <w:color w:val="auto"/>
          <w:kern w:val="2"/>
          <w:sz w:val="36"/>
          <w:szCs w:val="24"/>
        </w:rPr>
        <w:t>第一部分  部门概况</w:t>
      </w:r>
    </w:p>
    <w:p>
      <w:pPr>
        <w:spacing w:beforeLines="0" w:afterLines="0" w:line="600" w:lineRule="exact"/>
        <w:ind w:left="424" w:firstLine="212"/>
        <w:jc w:val="both"/>
        <w:rPr>
          <w:rFonts w:hint="default" w:ascii="Times New Roman" w:hAnsi="Times New Roman" w:eastAsia="Times New Roman"/>
          <w:b/>
          <w:color w:val="auto"/>
          <w:kern w:val="2"/>
          <w:sz w:val="32"/>
          <w:szCs w:val="24"/>
        </w:rPr>
      </w:pPr>
      <w:r>
        <w:rPr>
          <w:rFonts w:hint="eastAsia" w:ascii="黑体" w:hAnsi="黑体" w:eastAsia="黑体"/>
          <w:b/>
          <w:color w:val="auto"/>
          <w:kern w:val="2"/>
          <w:sz w:val="32"/>
          <w:szCs w:val="24"/>
        </w:rPr>
        <w:t>一、主要职能、职责</w:t>
      </w:r>
    </w:p>
    <w:p>
      <w:pPr>
        <w:snapToGrid w:val="0"/>
        <w:spacing w:line="560" w:lineRule="exact"/>
        <w:ind w:firstLine="640"/>
        <w:rPr>
          <w:rFonts w:hint="eastAsia" w:ascii="楷体_GB2312" w:eastAsia="楷体_GB2312"/>
          <w:sz w:val="32"/>
          <w:szCs w:val="32"/>
        </w:rPr>
      </w:pPr>
      <w:r>
        <w:rPr>
          <w:rFonts w:hint="eastAsia" w:ascii="楷体_GB2312" w:eastAsia="楷体_GB2312"/>
          <w:sz w:val="32"/>
          <w:szCs w:val="32"/>
        </w:rPr>
        <w:t>（一）部门职能</w:t>
      </w:r>
    </w:p>
    <w:p>
      <w:pPr>
        <w:snapToGrid w:val="0"/>
        <w:spacing w:line="560" w:lineRule="exact"/>
        <w:ind w:left="365" w:leftChars="152" w:firstLine="320" w:firstLineChars="100"/>
        <w:rPr>
          <w:rFonts w:hint="eastAsia" w:eastAsia="仿宋_GB2312"/>
          <w:sz w:val="32"/>
          <w:szCs w:val="32"/>
        </w:rPr>
      </w:pPr>
      <w:r>
        <w:rPr>
          <w:rFonts w:hint="eastAsia" w:eastAsia="仿宋_GB2312"/>
          <w:sz w:val="32"/>
          <w:szCs w:val="32"/>
        </w:rPr>
        <w:t>巴彦淖尔市财政局是巴彦淖尔市政府主管财政收支、  财税政策、 国有资产管理等工作的综合职能部门。</w:t>
      </w:r>
    </w:p>
    <w:p>
      <w:pPr>
        <w:snapToGrid w:val="0"/>
        <w:spacing w:line="560" w:lineRule="exact"/>
        <w:ind w:firstLine="640"/>
        <w:rPr>
          <w:rFonts w:hint="eastAsia" w:ascii="楷体_GB2312" w:eastAsia="楷体_GB2312"/>
          <w:sz w:val="32"/>
          <w:szCs w:val="32"/>
        </w:rPr>
      </w:pPr>
      <w:r>
        <w:rPr>
          <w:rFonts w:hint="eastAsia" w:ascii="楷体_GB2312" w:eastAsia="楷体_GB2312"/>
          <w:sz w:val="32"/>
          <w:szCs w:val="32"/>
        </w:rPr>
        <w:t>（二）部门主要职责</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u w:val="none"/>
        </w:rPr>
      </w:pPr>
      <w:r>
        <w:rPr>
          <w:rFonts w:hint="eastAsia" w:ascii="仿宋" w:hAnsi="仿宋" w:eastAsia="仿宋" w:cs="仿宋"/>
          <w:sz w:val="32"/>
          <w:szCs w:val="32"/>
          <w:lang w:val="en-US" w:eastAsia="zh-CN"/>
        </w:rPr>
        <w:t>1.</w:t>
      </w:r>
      <w:r>
        <w:rPr>
          <w:rFonts w:hint="eastAsia" w:ascii="仿宋_GB2312" w:eastAsia="仿宋_GB2312"/>
          <w:sz w:val="32"/>
          <w:szCs w:val="32"/>
          <w:u w:val="none"/>
          <w:lang w:val="en-US" w:eastAsia="zh-CN"/>
        </w:rPr>
        <w:t>参与</w:t>
      </w:r>
      <w:r>
        <w:rPr>
          <w:rFonts w:hint="eastAsia" w:ascii="仿宋_GB2312" w:hAnsi="仿宋_GB2312" w:eastAsia="仿宋_GB2312" w:cs="仿宋_GB2312"/>
          <w:sz w:val="32"/>
          <w:szCs w:val="32"/>
          <w:u w:val="none"/>
        </w:rPr>
        <w:t>拟订</w:t>
      </w:r>
      <w:r>
        <w:rPr>
          <w:rFonts w:hint="eastAsia" w:ascii="仿宋_GB2312" w:hAnsi="仿宋_GB2312" w:eastAsia="仿宋_GB2312" w:cs="仿宋_GB2312"/>
          <w:sz w:val="32"/>
          <w:szCs w:val="32"/>
          <w:u w:val="none"/>
          <w:lang w:eastAsia="zh-CN"/>
        </w:rPr>
        <w:t>本</w:t>
      </w:r>
      <w:r>
        <w:rPr>
          <w:rFonts w:hint="eastAsia" w:ascii="仿宋_GB2312" w:hAnsi="仿宋_GB2312" w:eastAsia="仿宋_GB2312" w:cs="仿宋_GB2312"/>
          <w:sz w:val="32"/>
          <w:szCs w:val="32"/>
          <w:u w:val="none"/>
        </w:rPr>
        <w:t>市财税发展战略、规划、政策和改革方案并组织实施。分析预测宏观经济形势，参与制定宏观经济政策，提</w:t>
      </w:r>
      <w:r>
        <w:rPr>
          <w:rFonts w:hint="eastAsia" w:ascii="仿宋_GB2312" w:hAnsi="仿宋_GB2312" w:eastAsia="仿宋_GB2312" w:cs="仿宋_GB2312"/>
          <w:sz w:val="32"/>
          <w:szCs w:val="32"/>
          <w:highlight w:val="none"/>
          <w:u w:val="none"/>
        </w:rPr>
        <w:t>出运</w:t>
      </w:r>
      <w:r>
        <w:rPr>
          <w:rFonts w:hint="eastAsia" w:ascii="仿宋_GB2312" w:hAnsi="仿宋_GB2312" w:eastAsia="仿宋_GB2312" w:cs="仿宋_GB2312"/>
          <w:sz w:val="32"/>
          <w:szCs w:val="32"/>
          <w:u w:val="none"/>
        </w:rPr>
        <w:t>用财税政策实施宏观调控和综合平衡社会财力的建议。拟订市与旗县</w:t>
      </w:r>
      <w:r>
        <w:rPr>
          <w:rFonts w:hint="eastAsia" w:ascii="仿宋_GB2312" w:hAnsi="仿宋_GB2312" w:eastAsia="仿宋_GB2312" w:cs="仿宋_GB2312"/>
          <w:sz w:val="32"/>
          <w:szCs w:val="32"/>
          <w:u w:val="none"/>
          <w:lang w:eastAsia="zh-CN"/>
        </w:rPr>
        <w:t>区</w:t>
      </w:r>
      <w:r>
        <w:rPr>
          <w:rFonts w:hint="eastAsia" w:ascii="仿宋_GB2312" w:hAnsi="仿宋_GB2312" w:eastAsia="仿宋_GB2312" w:cs="仿宋_GB2312"/>
          <w:sz w:val="32"/>
          <w:szCs w:val="32"/>
          <w:u w:val="none"/>
        </w:rPr>
        <w:t>，市政府与企业的分配政策和办法，完善鼓励公益事业发展的财税政策。推进</w:t>
      </w:r>
      <w:r>
        <w:rPr>
          <w:rFonts w:hint="eastAsia" w:ascii="仿宋_GB2312" w:hAnsi="仿宋_GB2312" w:eastAsia="仿宋_GB2312" w:cs="仿宋_GB2312"/>
          <w:sz w:val="32"/>
          <w:szCs w:val="32"/>
          <w:u w:val="none"/>
          <w:lang w:eastAsia="zh-CN"/>
        </w:rPr>
        <w:t>本市</w:t>
      </w:r>
      <w:r>
        <w:rPr>
          <w:rFonts w:hint="eastAsia" w:ascii="仿宋_GB2312" w:hAnsi="仿宋_GB2312" w:eastAsia="仿宋_GB2312" w:cs="仿宋_GB2312"/>
          <w:sz w:val="32"/>
          <w:szCs w:val="32"/>
          <w:u w:val="none"/>
        </w:rPr>
        <w:t>财政管理体制改革。</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jc w:val="left"/>
        <w:textAlignment w:val="auto"/>
        <w:rPr>
          <w:rFonts w:hint="eastAsia" w:ascii="仿宋_GB2312" w:eastAsia="仿宋_GB2312"/>
          <w:sz w:val="32"/>
          <w:szCs w:val="32"/>
          <w:u w:val="none"/>
        </w:rPr>
      </w:pPr>
      <w:r>
        <w:rPr>
          <w:rFonts w:hint="eastAsia" w:ascii="仿宋" w:hAnsi="仿宋" w:eastAsia="仿宋" w:cs="仿宋"/>
          <w:sz w:val="32"/>
          <w:szCs w:val="32"/>
          <w:lang w:val="en-US" w:eastAsia="zh-CN"/>
        </w:rPr>
        <w:t>2.</w:t>
      </w:r>
      <w:r>
        <w:rPr>
          <w:rFonts w:hint="eastAsia" w:ascii="仿宋_GB2312" w:eastAsia="仿宋_GB2312"/>
          <w:sz w:val="32"/>
          <w:szCs w:val="32"/>
          <w:u w:val="none"/>
          <w:lang w:eastAsia="zh-CN"/>
        </w:rPr>
        <w:t>会同有关部门拟订</w:t>
      </w:r>
      <w:r>
        <w:rPr>
          <w:rFonts w:hint="eastAsia" w:ascii="仿宋_GB2312" w:eastAsia="仿宋_GB2312"/>
          <w:sz w:val="32"/>
          <w:szCs w:val="32"/>
          <w:u w:val="none"/>
        </w:rPr>
        <w:t>全</w:t>
      </w:r>
      <w:r>
        <w:rPr>
          <w:rFonts w:hint="eastAsia" w:ascii="仿宋_GB2312" w:hAnsi="仿宋_GB2312" w:eastAsia="仿宋_GB2312" w:cs="仿宋_GB2312"/>
          <w:sz w:val="32"/>
          <w:szCs w:val="32"/>
          <w:u w:val="none"/>
        </w:rPr>
        <w:t>市</w:t>
      </w:r>
      <w:r>
        <w:rPr>
          <w:rFonts w:hint="eastAsia" w:ascii="仿宋_GB2312" w:eastAsia="仿宋_GB2312"/>
          <w:sz w:val="32"/>
          <w:szCs w:val="32"/>
          <w:u w:val="none"/>
        </w:rPr>
        <w:t>财政、财务、会计管理的地方性</w:t>
      </w:r>
      <w:r>
        <w:rPr>
          <w:rFonts w:hint="eastAsia" w:ascii="仿宋_GB2312" w:eastAsia="仿宋_GB2312"/>
          <w:sz w:val="32"/>
          <w:szCs w:val="32"/>
          <w:u w:val="none"/>
          <w:lang w:eastAsia="zh-CN"/>
        </w:rPr>
        <w:t>政策</w:t>
      </w:r>
      <w:r>
        <w:rPr>
          <w:rFonts w:hint="eastAsia" w:ascii="仿宋_GB2312" w:eastAsia="仿宋_GB2312"/>
          <w:sz w:val="32"/>
          <w:szCs w:val="32"/>
          <w:u w:val="none"/>
        </w:rPr>
        <w:t>、</w:t>
      </w:r>
      <w:r>
        <w:rPr>
          <w:rFonts w:hint="eastAsia" w:ascii="仿宋_GB2312" w:eastAsia="仿宋_GB2312"/>
          <w:sz w:val="32"/>
          <w:szCs w:val="32"/>
          <w:u w:val="none"/>
          <w:lang w:eastAsia="zh-CN"/>
        </w:rPr>
        <w:t>制度</w:t>
      </w:r>
      <w:r>
        <w:rPr>
          <w:rFonts w:hint="eastAsia" w:ascii="仿宋_GB2312" w:eastAsia="仿宋_GB2312"/>
          <w:sz w:val="32"/>
          <w:szCs w:val="32"/>
          <w:u w:val="none"/>
        </w:rPr>
        <w:t>，并监督执行。</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u w:val="none"/>
        </w:rPr>
      </w:pPr>
      <w:r>
        <w:rPr>
          <w:rFonts w:hint="eastAsia" w:ascii="仿宋" w:hAnsi="仿宋" w:eastAsia="仿宋" w:cs="仿宋"/>
          <w:sz w:val="32"/>
          <w:szCs w:val="32"/>
          <w:lang w:val="en-US" w:eastAsia="zh-CN"/>
        </w:rPr>
        <w:t>3.</w:t>
      </w:r>
      <w:r>
        <w:rPr>
          <w:rFonts w:hint="eastAsia" w:ascii="仿宋_GB2312" w:hAnsi="仿宋_GB2312" w:eastAsia="仿宋_GB2312" w:cs="仿宋_GB2312"/>
          <w:sz w:val="32"/>
          <w:szCs w:val="32"/>
          <w:u w:val="none"/>
        </w:rPr>
        <w:t>负责管理市本级各项财政收支管理。编制年度全市预决算草案并组织执行。组织制定</w:t>
      </w:r>
      <w:r>
        <w:rPr>
          <w:rFonts w:hint="eastAsia" w:ascii="仿宋_GB2312" w:hAnsi="仿宋_GB2312" w:eastAsia="仿宋_GB2312" w:cs="仿宋_GB2312"/>
          <w:sz w:val="32"/>
          <w:szCs w:val="32"/>
          <w:u w:val="none"/>
          <w:lang w:eastAsia="zh-CN"/>
        </w:rPr>
        <w:t>本市</w:t>
      </w:r>
      <w:r>
        <w:rPr>
          <w:rFonts w:hint="eastAsia" w:ascii="仿宋_GB2312" w:hAnsi="仿宋_GB2312" w:eastAsia="仿宋_GB2312" w:cs="仿宋_GB2312"/>
          <w:sz w:val="32"/>
          <w:szCs w:val="32"/>
          <w:u w:val="none"/>
        </w:rPr>
        <w:t>经费开支标准、定额，负责审核批复部门(单位)的年度预决算。受市政府委托，向市人民代表大会及其常委会报告财政预算、执行和决算等情况。负责政府投资基金市财政出资的资产管理。负责</w:t>
      </w:r>
      <w:r>
        <w:rPr>
          <w:rFonts w:hint="eastAsia" w:ascii="仿宋_GB2312" w:hAnsi="仿宋_GB2312" w:eastAsia="仿宋_GB2312" w:cs="仿宋_GB2312"/>
          <w:sz w:val="32"/>
          <w:szCs w:val="32"/>
          <w:u w:val="none"/>
          <w:lang w:eastAsia="zh-CN"/>
        </w:rPr>
        <w:t>市本级</w:t>
      </w:r>
      <w:r>
        <w:rPr>
          <w:rFonts w:hint="eastAsia" w:ascii="仿宋_GB2312" w:hAnsi="仿宋_GB2312" w:eastAsia="仿宋_GB2312" w:cs="仿宋_GB2312"/>
          <w:sz w:val="32"/>
          <w:szCs w:val="32"/>
          <w:u w:val="none"/>
        </w:rPr>
        <w:t>预决算公开。办理市与旗县区财政年终结算事宜。</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jc w:val="left"/>
        <w:textAlignment w:val="auto"/>
        <w:rPr>
          <w:rFonts w:hint="eastAsia" w:ascii="仿宋_GB2312" w:eastAsia="仿宋_GB2312"/>
          <w:sz w:val="32"/>
          <w:szCs w:val="32"/>
          <w:u w:val="none"/>
        </w:rPr>
      </w:pPr>
      <w:r>
        <w:rPr>
          <w:rFonts w:hint="eastAsia" w:ascii="仿宋" w:hAnsi="仿宋" w:eastAsia="仿宋" w:cs="仿宋"/>
          <w:sz w:val="32"/>
          <w:szCs w:val="32"/>
          <w:lang w:val="en-US" w:eastAsia="zh-CN"/>
        </w:rPr>
        <w:t>4.</w:t>
      </w:r>
      <w:r>
        <w:rPr>
          <w:rFonts w:hint="eastAsia" w:ascii="仿宋_GB2312" w:eastAsia="仿宋_GB2312"/>
          <w:sz w:val="32"/>
          <w:szCs w:val="32"/>
          <w:u w:val="none"/>
        </w:rPr>
        <w:t>研究拟订</w:t>
      </w:r>
      <w:r>
        <w:rPr>
          <w:rFonts w:hint="eastAsia" w:ascii="仿宋_GB2312" w:hAnsi="仿宋_GB2312" w:eastAsia="仿宋_GB2312" w:cs="仿宋_GB2312"/>
          <w:sz w:val="32"/>
          <w:szCs w:val="32"/>
          <w:u w:val="none"/>
        </w:rPr>
        <w:t>市</w:t>
      </w:r>
      <w:r>
        <w:rPr>
          <w:rFonts w:hint="eastAsia" w:ascii="仿宋_GB2312" w:eastAsia="仿宋_GB2312"/>
          <w:sz w:val="32"/>
          <w:szCs w:val="32"/>
          <w:u w:val="none"/>
        </w:rPr>
        <w:t>管理权限范围内的有关税收办法及税收调整方案。</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jc w:val="left"/>
        <w:textAlignment w:val="auto"/>
        <w:rPr>
          <w:rFonts w:hint="eastAsia" w:ascii="仿宋_GB2312" w:eastAsia="仿宋_GB2312"/>
          <w:sz w:val="32"/>
          <w:szCs w:val="32"/>
          <w:u w:val="none"/>
        </w:rPr>
      </w:pPr>
      <w:r>
        <w:rPr>
          <w:rFonts w:hint="eastAsia" w:ascii="仿宋" w:hAnsi="仿宋" w:eastAsia="仿宋" w:cs="仿宋"/>
          <w:sz w:val="32"/>
          <w:szCs w:val="32"/>
          <w:lang w:val="en-US" w:eastAsia="zh-CN"/>
        </w:rPr>
        <w:t>5.</w:t>
      </w:r>
      <w:r>
        <w:rPr>
          <w:rFonts w:hint="eastAsia" w:ascii="仿宋_GB2312" w:eastAsia="仿宋_GB2312"/>
          <w:sz w:val="32"/>
          <w:szCs w:val="32"/>
          <w:u w:val="none"/>
        </w:rPr>
        <w:t>按分工负责政府非税收入管理。审核并汇总编制全</w:t>
      </w:r>
      <w:r>
        <w:rPr>
          <w:rFonts w:hint="eastAsia" w:ascii="仿宋_GB2312" w:hAnsi="仿宋_GB2312" w:eastAsia="仿宋_GB2312" w:cs="仿宋_GB2312"/>
          <w:sz w:val="32"/>
          <w:szCs w:val="32"/>
          <w:u w:val="none"/>
        </w:rPr>
        <w:t>市</w:t>
      </w:r>
      <w:r>
        <w:rPr>
          <w:rFonts w:hint="eastAsia" w:ascii="仿宋_GB2312" w:eastAsia="仿宋_GB2312"/>
          <w:sz w:val="32"/>
          <w:szCs w:val="32"/>
          <w:u w:val="none"/>
        </w:rPr>
        <w:t>政府性基金预决算草案。负责政府性基金管理，按规定管理行政事业性收费。管理财政票据。监管彩票市场，按规定管理彩票资金。</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jc w:val="left"/>
        <w:textAlignment w:val="auto"/>
        <w:rPr>
          <w:rFonts w:hint="eastAsia" w:ascii="仿宋_GB2312" w:eastAsia="仿宋_GB2312"/>
          <w:sz w:val="32"/>
          <w:szCs w:val="32"/>
          <w:u w:val="none"/>
        </w:rPr>
      </w:pPr>
      <w:r>
        <w:rPr>
          <w:rFonts w:hint="eastAsia" w:ascii="仿宋" w:hAnsi="仿宋" w:eastAsia="仿宋" w:cs="仿宋"/>
          <w:sz w:val="32"/>
          <w:szCs w:val="32"/>
          <w:lang w:val="en-US" w:eastAsia="zh-CN"/>
        </w:rPr>
        <w:t>6.</w:t>
      </w:r>
      <w:r>
        <w:rPr>
          <w:rFonts w:hint="eastAsia" w:ascii="仿宋_GB2312" w:eastAsia="仿宋_GB2312"/>
          <w:sz w:val="32"/>
          <w:szCs w:val="32"/>
          <w:u w:val="none"/>
        </w:rPr>
        <w:t>组织制定全</w:t>
      </w:r>
      <w:r>
        <w:rPr>
          <w:rFonts w:hint="eastAsia" w:ascii="仿宋_GB2312" w:hAnsi="仿宋_GB2312" w:eastAsia="仿宋_GB2312" w:cs="仿宋_GB2312"/>
          <w:sz w:val="32"/>
          <w:szCs w:val="32"/>
          <w:u w:val="none"/>
        </w:rPr>
        <w:t>市</w:t>
      </w:r>
      <w:r>
        <w:rPr>
          <w:rFonts w:hint="eastAsia" w:ascii="仿宋_GB2312" w:eastAsia="仿宋_GB2312"/>
          <w:sz w:val="32"/>
          <w:szCs w:val="32"/>
          <w:u w:val="none"/>
        </w:rPr>
        <w:t>国库管理制度、国库集中收付制度，指导和监督</w:t>
      </w:r>
      <w:r>
        <w:rPr>
          <w:rFonts w:hint="eastAsia" w:ascii="仿宋_GB2312" w:hAnsi="仿宋_GB2312" w:eastAsia="仿宋_GB2312" w:cs="仿宋_GB2312"/>
          <w:sz w:val="32"/>
          <w:szCs w:val="32"/>
          <w:u w:val="none"/>
          <w:lang w:eastAsia="zh-CN"/>
        </w:rPr>
        <w:t>本</w:t>
      </w:r>
      <w:r>
        <w:rPr>
          <w:rFonts w:hint="eastAsia" w:ascii="仿宋_GB2312" w:hAnsi="仿宋_GB2312" w:eastAsia="仿宋_GB2312" w:cs="仿宋_GB2312"/>
          <w:sz w:val="32"/>
          <w:szCs w:val="32"/>
          <w:u w:val="none"/>
        </w:rPr>
        <w:t>市</w:t>
      </w:r>
      <w:r>
        <w:rPr>
          <w:rFonts w:hint="eastAsia" w:ascii="仿宋_GB2312" w:eastAsia="仿宋_GB2312"/>
          <w:sz w:val="32"/>
          <w:szCs w:val="32"/>
          <w:u w:val="none"/>
        </w:rPr>
        <w:t>国库业务，开展国库现金管理工作。拟订政府财务报告编制办法并组织实施。组织落实政府采购制度并监督管理。</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jc w:val="left"/>
        <w:textAlignment w:val="auto"/>
        <w:rPr>
          <w:rFonts w:hint="eastAsia" w:ascii="仿宋_GB2312" w:eastAsia="仿宋_GB2312"/>
          <w:sz w:val="32"/>
          <w:szCs w:val="32"/>
          <w:u w:val="none"/>
          <w:lang w:eastAsia="zh-CN"/>
        </w:rPr>
      </w:pPr>
      <w:r>
        <w:rPr>
          <w:rFonts w:hint="eastAsia" w:ascii="仿宋" w:hAnsi="仿宋" w:eastAsia="仿宋" w:cs="仿宋"/>
          <w:sz w:val="32"/>
          <w:szCs w:val="32"/>
          <w:lang w:val="en-US" w:eastAsia="zh-CN"/>
        </w:rPr>
        <w:t>7.</w:t>
      </w:r>
      <w:r>
        <w:rPr>
          <w:rFonts w:hint="eastAsia" w:ascii="仿宋_GB2312" w:eastAsia="仿宋_GB2312"/>
          <w:sz w:val="32"/>
          <w:szCs w:val="32"/>
          <w:u w:val="none"/>
        </w:rPr>
        <w:t>贯彻执行国家关于政府国内债务管理的制度和政策。依法拟订全</w:t>
      </w:r>
      <w:r>
        <w:rPr>
          <w:rFonts w:hint="eastAsia" w:ascii="仿宋_GB2312" w:hAnsi="仿宋_GB2312" w:eastAsia="仿宋_GB2312" w:cs="仿宋_GB2312"/>
          <w:sz w:val="32"/>
          <w:szCs w:val="32"/>
          <w:u w:val="none"/>
        </w:rPr>
        <w:t>市</w:t>
      </w:r>
      <w:r>
        <w:rPr>
          <w:rFonts w:hint="eastAsia" w:ascii="仿宋_GB2312" w:eastAsia="仿宋_GB2312"/>
          <w:sz w:val="32"/>
          <w:szCs w:val="32"/>
          <w:u w:val="none"/>
        </w:rPr>
        <w:t>政府性债务管理制度和办法。负责政府性债务风险管控、限额管理。负责统一管理政府外债相关工作</w:t>
      </w:r>
      <w:r>
        <w:rPr>
          <w:rFonts w:hint="eastAsia" w:ascii="仿宋_GB2312" w:eastAsia="仿宋_GB2312"/>
          <w:sz w:val="32"/>
          <w:szCs w:val="32"/>
          <w:u w:val="none"/>
          <w:lang w:eastAsia="zh-CN"/>
        </w:rPr>
        <w:t>。</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jc w:val="left"/>
        <w:textAlignment w:val="auto"/>
        <w:rPr>
          <w:rFonts w:hint="eastAsia" w:ascii="仿宋_GB2312" w:eastAsia="仿宋_GB2312"/>
          <w:sz w:val="32"/>
          <w:szCs w:val="32"/>
          <w:u w:val="none"/>
        </w:rPr>
      </w:pPr>
      <w:r>
        <w:rPr>
          <w:rFonts w:hint="eastAsia" w:ascii="仿宋" w:hAnsi="仿宋" w:eastAsia="仿宋" w:cs="仿宋"/>
          <w:sz w:val="32"/>
          <w:szCs w:val="32"/>
          <w:lang w:val="en-US" w:eastAsia="zh-CN"/>
        </w:rPr>
        <w:t>8.</w:t>
      </w:r>
      <w:r>
        <w:rPr>
          <w:rFonts w:hint="eastAsia" w:ascii="仿宋_GB2312" w:eastAsia="仿宋_GB2312"/>
          <w:sz w:val="32"/>
          <w:szCs w:val="32"/>
          <w:u w:val="none"/>
        </w:rPr>
        <w:t>负责管理全</w:t>
      </w:r>
      <w:r>
        <w:rPr>
          <w:rFonts w:hint="eastAsia" w:ascii="仿宋_GB2312" w:hAnsi="仿宋_GB2312" w:eastAsia="仿宋_GB2312" w:cs="仿宋_GB2312"/>
          <w:sz w:val="32"/>
          <w:szCs w:val="32"/>
          <w:u w:val="none"/>
        </w:rPr>
        <w:t>市</w:t>
      </w:r>
      <w:r>
        <w:rPr>
          <w:rFonts w:hint="eastAsia" w:ascii="仿宋_GB2312" w:eastAsia="仿宋_GB2312"/>
          <w:sz w:val="32"/>
          <w:szCs w:val="32"/>
          <w:u w:val="none"/>
        </w:rPr>
        <w:t>会计工作，监督和规范会计行为，指导和监督注册会计师和会计师事务所的业务，指导和管理社会审计。依法管理资产评估有关工作。</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jc w:val="left"/>
        <w:textAlignment w:val="auto"/>
        <w:rPr>
          <w:rFonts w:hint="eastAsia" w:ascii="仿宋_GB2312" w:eastAsia="仿宋_GB2312"/>
          <w:sz w:val="32"/>
          <w:szCs w:val="32"/>
          <w:u w:val="none"/>
        </w:rPr>
      </w:pPr>
      <w:r>
        <w:rPr>
          <w:rFonts w:hint="eastAsia" w:ascii="仿宋" w:hAnsi="仿宋" w:eastAsia="仿宋" w:cs="仿宋"/>
          <w:sz w:val="32"/>
          <w:szCs w:val="32"/>
          <w:lang w:val="en-US" w:eastAsia="zh-CN"/>
        </w:rPr>
        <w:t>9.</w:t>
      </w:r>
      <w:r>
        <w:rPr>
          <w:rFonts w:hint="eastAsia" w:ascii="仿宋_GB2312" w:eastAsia="仿宋_GB2312"/>
          <w:sz w:val="32"/>
          <w:szCs w:val="32"/>
          <w:u w:val="none"/>
        </w:rPr>
        <w:t>负责监督检查财税法规、政策执行情况，反映财政收支管理中的重大问题。负责组织实施预算绩效管理相关工作。督导和规范内部控制，提出加强财政管理的政策和建议。</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jc w:val="left"/>
        <w:textAlignment w:val="auto"/>
        <w:rPr>
          <w:rFonts w:hint="eastAsia" w:ascii="仿宋_GB2312" w:eastAsia="仿宋_GB2312"/>
          <w:sz w:val="32"/>
          <w:szCs w:val="32"/>
          <w:u w:val="none"/>
        </w:rPr>
      </w:pPr>
      <w:r>
        <w:rPr>
          <w:rFonts w:hint="eastAsia" w:ascii="仿宋" w:hAnsi="仿宋" w:eastAsia="仿宋" w:cs="仿宋"/>
          <w:sz w:val="32"/>
          <w:szCs w:val="32"/>
          <w:lang w:val="en-US" w:eastAsia="zh-CN"/>
        </w:rPr>
        <w:t>10.</w:t>
      </w:r>
      <w:r>
        <w:rPr>
          <w:rFonts w:hint="eastAsia" w:ascii="仿宋_GB2312" w:eastAsia="仿宋_GB2312"/>
          <w:sz w:val="32"/>
          <w:szCs w:val="32"/>
          <w:u w:val="none"/>
        </w:rPr>
        <w:t>负责审核并汇总编制</w:t>
      </w:r>
      <w:r>
        <w:rPr>
          <w:rFonts w:hint="eastAsia" w:ascii="仿宋_GB2312" w:eastAsia="仿宋_GB2312"/>
          <w:sz w:val="32"/>
          <w:szCs w:val="32"/>
          <w:u w:val="none"/>
          <w:lang w:eastAsia="zh-CN"/>
        </w:rPr>
        <w:t>本</w:t>
      </w:r>
      <w:r>
        <w:rPr>
          <w:rFonts w:hint="eastAsia" w:ascii="仿宋_GB2312" w:hAnsi="仿宋_GB2312" w:eastAsia="仿宋_GB2312" w:cs="仿宋_GB2312"/>
          <w:sz w:val="32"/>
          <w:szCs w:val="32"/>
          <w:u w:val="none"/>
        </w:rPr>
        <w:t>市</w:t>
      </w:r>
      <w:r>
        <w:rPr>
          <w:rFonts w:hint="eastAsia" w:ascii="仿宋_GB2312" w:eastAsia="仿宋_GB2312"/>
          <w:sz w:val="32"/>
          <w:szCs w:val="32"/>
          <w:u w:val="none"/>
        </w:rPr>
        <w:t>社会保险基金预决算草案，会同有关部门拟订有关资金(基金)财务管理制度，承担社会保险基金财政监管工作。</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jc w:val="left"/>
        <w:textAlignment w:val="auto"/>
        <w:rPr>
          <w:rFonts w:hint="eastAsia" w:ascii="仿宋_GB2312" w:eastAsia="仿宋_GB2312"/>
          <w:sz w:val="32"/>
          <w:szCs w:val="32"/>
          <w:u w:val="none"/>
          <w:lang w:eastAsia="zh-CN"/>
        </w:rPr>
      </w:pPr>
      <w:r>
        <w:rPr>
          <w:rFonts w:hint="eastAsia" w:ascii="仿宋" w:hAnsi="仿宋" w:eastAsia="仿宋" w:cs="仿宋"/>
          <w:sz w:val="32"/>
          <w:szCs w:val="32"/>
          <w:lang w:val="en-US" w:eastAsia="zh-CN"/>
        </w:rPr>
        <w:t>11.</w:t>
      </w:r>
      <w:r>
        <w:rPr>
          <w:rFonts w:hint="eastAsia" w:ascii="仿宋_GB2312" w:eastAsia="仿宋_GB2312"/>
          <w:sz w:val="32"/>
          <w:szCs w:val="32"/>
          <w:u w:val="none"/>
        </w:rPr>
        <w:t>负责办理和监督</w:t>
      </w:r>
      <w:r>
        <w:rPr>
          <w:rFonts w:hint="eastAsia" w:ascii="仿宋_GB2312" w:eastAsia="仿宋_GB2312"/>
          <w:sz w:val="32"/>
          <w:szCs w:val="32"/>
          <w:u w:val="none"/>
          <w:lang w:eastAsia="zh-CN"/>
        </w:rPr>
        <w:t>本</w:t>
      </w:r>
      <w:r>
        <w:rPr>
          <w:rFonts w:hint="eastAsia" w:ascii="仿宋_GB2312" w:hAnsi="仿宋_GB2312" w:eastAsia="仿宋_GB2312" w:cs="仿宋_GB2312"/>
          <w:sz w:val="32"/>
          <w:szCs w:val="32"/>
          <w:u w:val="none"/>
        </w:rPr>
        <w:t>市</w:t>
      </w:r>
      <w:r>
        <w:rPr>
          <w:rFonts w:hint="eastAsia" w:ascii="仿宋_GB2312" w:eastAsia="仿宋_GB2312"/>
          <w:sz w:val="32"/>
          <w:szCs w:val="32"/>
          <w:u w:val="none"/>
        </w:rPr>
        <w:t>财政的经济发展支出</w:t>
      </w:r>
      <w:r>
        <w:rPr>
          <w:rFonts w:hint="eastAsia" w:ascii="仿宋_GB2312" w:eastAsia="仿宋_GB2312"/>
          <w:sz w:val="32"/>
          <w:szCs w:val="32"/>
          <w:u w:val="none"/>
          <w:lang w:eastAsia="zh-CN"/>
        </w:rPr>
        <w:t>，</w:t>
      </w:r>
      <w:r>
        <w:rPr>
          <w:rFonts w:hint="eastAsia" w:ascii="仿宋_GB2312" w:eastAsia="仿宋_GB2312"/>
          <w:sz w:val="32"/>
          <w:szCs w:val="32"/>
          <w:u w:val="none"/>
        </w:rPr>
        <w:t>中央、自治区和</w:t>
      </w:r>
      <w:r>
        <w:rPr>
          <w:rFonts w:hint="eastAsia" w:ascii="仿宋_GB2312" w:hAnsi="仿宋_GB2312" w:eastAsia="仿宋_GB2312" w:cs="仿宋_GB2312"/>
          <w:sz w:val="32"/>
          <w:szCs w:val="32"/>
          <w:u w:val="none"/>
        </w:rPr>
        <w:t>市</w:t>
      </w:r>
      <w:r>
        <w:rPr>
          <w:rFonts w:hint="eastAsia" w:ascii="仿宋_GB2312" w:eastAsia="仿宋_GB2312"/>
          <w:sz w:val="32"/>
          <w:szCs w:val="32"/>
          <w:u w:val="none"/>
        </w:rPr>
        <w:t>政府性投资项目的财政拨款，参与拟订</w:t>
      </w:r>
      <w:r>
        <w:rPr>
          <w:rFonts w:hint="eastAsia" w:ascii="仿宋_GB2312" w:eastAsia="仿宋_GB2312"/>
          <w:sz w:val="32"/>
          <w:szCs w:val="32"/>
          <w:u w:val="none"/>
          <w:lang w:eastAsia="zh-CN"/>
        </w:rPr>
        <w:t>本</w:t>
      </w:r>
      <w:r>
        <w:rPr>
          <w:rFonts w:hint="eastAsia" w:ascii="仿宋_GB2312" w:hAnsi="仿宋_GB2312" w:eastAsia="仿宋_GB2312" w:cs="仿宋_GB2312"/>
          <w:sz w:val="32"/>
          <w:szCs w:val="32"/>
          <w:u w:val="none"/>
        </w:rPr>
        <w:t>市</w:t>
      </w:r>
      <w:r>
        <w:rPr>
          <w:rFonts w:hint="eastAsia" w:ascii="仿宋_GB2312" w:eastAsia="仿宋_GB2312"/>
          <w:sz w:val="32"/>
          <w:szCs w:val="32"/>
          <w:u w:val="none"/>
        </w:rPr>
        <w:t>基本建设投资的有关政策，制定基本建设财务制度</w:t>
      </w:r>
      <w:r>
        <w:rPr>
          <w:rFonts w:hint="eastAsia" w:ascii="仿宋_GB2312" w:eastAsia="仿宋_GB2312"/>
          <w:sz w:val="32"/>
          <w:szCs w:val="32"/>
          <w:u w:val="none"/>
          <w:lang w:eastAsia="zh-CN"/>
        </w:rPr>
        <w:t>。</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jc w:val="left"/>
        <w:textAlignment w:val="auto"/>
        <w:rPr>
          <w:rFonts w:hint="eastAsia" w:ascii="仿宋_GB2312" w:eastAsia="仿宋_GB2312"/>
          <w:sz w:val="32"/>
          <w:szCs w:val="32"/>
          <w:u w:val="none"/>
        </w:rPr>
      </w:pPr>
      <w:r>
        <w:rPr>
          <w:rFonts w:hint="eastAsia" w:ascii="仿宋" w:hAnsi="仿宋" w:eastAsia="仿宋" w:cs="仿宋"/>
          <w:sz w:val="32"/>
          <w:szCs w:val="32"/>
          <w:lang w:val="en-US" w:eastAsia="zh-CN"/>
        </w:rPr>
        <w:t>12.</w:t>
      </w:r>
      <w:r>
        <w:rPr>
          <w:rFonts w:hint="eastAsia" w:ascii="仿宋_GB2312" w:eastAsia="仿宋_GB2312"/>
          <w:sz w:val="32"/>
          <w:szCs w:val="32"/>
          <w:u w:val="none"/>
        </w:rPr>
        <w:t>牵头编制国有资产管理情况报告。根据</w:t>
      </w:r>
      <w:r>
        <w:rPr>
          <w:rFonts w:hint="eastAsia" w:ascii="仿宋_GB2312" w:hAnsi="仿宋_GB2312" w:eastAsia="仿宋_GB2312" w:cs="仿宋_GB2312"/>
          <w:sz w:val="32"/>
          <w:szCs w:val="32"/>
          <w:u w:val="none"/>
        </w:rPr>
        <w:t>市</w:t>
      </w:r>
      <w:r>
        <w:rPr>
          <w:rFonts w:hint="eastAsia" w:ascii="仿宋_GB2312" w:eastAsia="仿宋_GB2312"/>
          <w:sz w:val="32"/>
          <w:szCs w:val="32"/>
          <w:u w:val="none"/>
        </w:rPr>
        <w:t>政府授权，集中统一履行</w:t>
      </w:r>
      <w:r>
        <w:rPr>
          <w:rFonts w:hint="eastAsia" w:ascii="仿宋_GB2312" w:hAnsi="仿宋_GB2312" w:eastAsia="仿宋_GB2312" w:cs="仿宋_GB2312"/>
          <w:sz w:val="32"/>
          <w:szCs w:val="32"/>
          <w:u w:val="none"/>
          <w:lang w:eastAsia="zh-CN"/>
        </w:rPr>
        <w:t>市本级</w:t>
      </w:r>
      <w:r>
        <w:rPr>
          <w:rFonts w:hint="eastAsia" w:ascii="仿宋_GB2312" w:eastAsia="仿宋_GB2312"/>
          <w:sz w:val="32"/>
          <w:szCs w:val="32"/>
          <w:u w:val="none"/>
        </w:rPr>
        <w:t>国有金融资本出资人职责，建立国有金融资本报告制度。拟订国有金融资本管理规章制度和财政与金融协调配合相关政策，负责政府和社会资本合作管理工作。拟定并组织实施行政事业单位国有资产管理规章制度，按规定管理</w:t>
      </w:r>
      <w:r>
        <w:rPr>
          <w:rFonts w:hint="eastAsia" w:ascii="仿宋_GB2312" w:eastAsia="仿宋_GB2312"/>
          <w:sz w:val="32"/>
          <w:szCs w:val="32"/>
          <w:u w:val="none"/>
          <w:lang w:eastAsia="zh-CN"/>
        </w:rPr>
        <w:t>市本级</w:t>
      </w:r>
      <w:r>
        <w:rPr>
          <w:rFonts w:hint="eastAsia" w:ascii="仿宋_GB2312" w:eastAsia="仿宋_GB2312"/>
          <w:sz w:val="32"/>
          <w:szCs w:val="32"/>
          <w:u w:val="none"/>
        </w:rPr>
        <w:t>行政事业单位国有资产。</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jc w:val="left"/>
        <w:textAlignment w:val="auto"/>
        <w:rPr>
          <w:rFonts w:hint="eastAsia" w:ascii="仿宋_GB2312" w:eastAsia="仿宋_GB2312"/>
          <w:sz w:val="32"/>
          <w:szCs w:val="32"/>
          <w:u w:val="none"/>
        </w:rPr>
      </w:pPr>
      <w:r>
        <w:rPr>
          <w:rFonts w:hint="eastAsia" w:ascii="仿宋" w:hAnsi="仿宋" w:eastAsia="仿宋" w:cs="仿宋"/>
          <w:sz w:val="32"/>
          <w:szCs w:val="32"/>
          <w:lang w:val="en-US" w:eastAsia="zh-CN"/>
        </w:rPr>
        <w:t>13.</w:t>
      </w:r>
      <w:r>
        <w:rPr>
          <w:rFonts w:hint="eastAsia" w:ascii="仿宋_GB2312" w:eastAsia="仿宋_GB2312"/>
          <w:sz w:val="32"/>
          <w:szCs w:val="32"/>
          <w:u w:val="none"/>
        </w:rPr>
        <w:t>参与拟定全市国有资本经营预算有关管理制度和办法，组织实施国有资本经营预算制度和办法，按照有关规定负责国有资本经营预决算编制和执行等工作</w:t>
      </w:r>
      <w:r>
        <w:rPr>
          <w:rFonts w:hint="eastAsia" w:ascii="仿宋_GB2312" w:eastAsia="仿宋_GB2312"/>
          <w:sz w:val="32"/>
          <w:szCs w:val="32"/>
          <w:u w:val="none"/>
          <w:lang w:eastAsia="zh-CN"/>
        </w:rPr>
        <w:t>。</w:t>
      </w:r>
      <w:r>
        <w:rPr>
          <w:rFonts w:hint="eastAsia" w:ascii="仿宋_GB2312" w:eastAsia="仿宋_GB2312"/>
          <w:sz w:val="32"/>
          <w:szCs w:val="32"/>
          <w:u w:val="none"/>
        </w:rPr>
        <w:t>负责审核并汇总编制全市国有资本经营预决算草案。收取市本级企业国有资本收益。组织实施企业财务制度。</w:t>
      </w:r>
    </w:p>
    <w:p>
      <w:pPr>
        <w:wordWrap w:val="0"/>
        <w:topLinePunct/>
        <w:spacing w:line="560" w:lineRule="exact"/>
        <w:ind w:left="730" w:leftChars="304"/>
        <w:rPr>
          <w:rFonts w:hint="eastAsia" w:ascii="仿宋_GB2312" w:hAnsi="仿宋_GB2312" w:eastAsia="仿宋_GB2312" w:cs="仿宋_GB2312"/>
          <w:sz w:val="32"/>
          <w:szCs w:val="32"/>
          <w:u w:val="none"/>
        </w:rPr>
      </w:pPr>
      <w:r>
        <w:rPr>
          <w:rFonts w:hint="eastAsia" w:ascii="仿宋" w:hAnsi="仿宋" w:eastAsia="仿宋" w:cs="仿宋"/>
          <w:sz w:val="32"/>
          <w:szCs w:val="32"/>
          <w:lang w:val="en-US" w:eastAsia="zh-CN"/>
        </w:rPr>
        <w:t>14.</w:t>
      </w:r>
      <w:r>
        <w:rPr>
          <w:rFonts w:hint="eastAsia" w:ascii="仿宋_GB2312" w:hAnsi="仿宋_GB2312" w:eastAsia="仿宋_GB2312" w:cs="仿宋_GB2312"/>
          <w:sz w:val="32"/>
          <w:szCs w:val="32"/>
          <w:u w:val="none"/>
        </w:rPr>
        <w:t>承担与履行职能相应的责任。</w:t>
      </w:r>
    </w:p>
    <w:p>
      <w:pPr>
        <w:wordWrap w:val="0"/>
        <w:topLinePunct/>
        <w:spacing w:line="560" w:lineRule="exact"/>
        <w:ind w:left="730" w:leftChars="304"/>
        <w:rPr>
          <w:rFonts w:hint="eastAsia" w:ascii="仿宋_GB2312" w:hAnsi="仿宋_GB2312" w:eastAsia="仿宋_GB2312" w:cs="仿宋_GB2312"/>
          <w:sz w:val="32"/>
          <w:szCs w:val="32"/>
          <w:u w:val="none"/>
        </w:rPr>
      </w:pPr>
      <w:r>
        <w:rPr>
          <w:rFonts w:hint="eastAsia" w:ascii="仿宋" w:hAnsi="仿宋" w:eastAsia="仿宋" w:cs="仿宋"/>
          <w:sz w:val="32"/>
          <w:szCs w:val="32"/>
          <w:lang w:val="en-US" w:eastAsia="zh-CN"/>
        </w:rPr>
        <w:t>15.</w:t>
      </w:r>
      <w:r>
        <w:rPr>
          <w:rFonts w:hint="eastAsia" w:ascii="仿宋_GB2312" w:hAnsi="仿宋_GB2312" w:eastAsia="仿宋_GB2312" w:cs="仿宋_GB2312"/>
          <w:sz w:val="32"/>
          <w:szCs w:val="32"/>
          <w:u w:val="none"/>
        </w:rPr>
        <w:t>完成市委、政府交办的其他任务。</w:t>
      </w:r>
    </w:p>
    <w:p>
      <w:pPr>
        <w:wordWrap w:val="0"/>
        <w:topLinePunct/>
        <w:spacing w:line="560" w:lineRule="exact"/>
        <w:ind w:firstLine="640" w:firstLineChars="200"/>
        <w:outlineLvl w:val="0"/>
        <w:rPr>
          <w:rFonts w:hint="eastAsia" w:ascii="仿宋_GB2312" w:hAnsi="仿宋_GB2312" w:eastAsia="仿宋_GB2312" w:cs="仿宋_GB2312"/>
          <w:sz w:val="32"/>
          <w:szCs w:val="32"/>
          <w:u w:val="none"/>
        </w:rPr>
      </w:pPr>
      <w:r>
        <w:rPr>
          <w:rFonts w:hint="eastAsia" w:ascii="仿宋" w:hAnsi="仿宋" w:eastAsia="仿宋" w:cs="仿宋"/>
          <w:sz w:val="32"/>
          <w:szCs w:val="32"/>
          <w:lang w:val="en-US" w:eastAsia="zh-CN"/>
        </w:rPr>
        <w:t>16.</w:t>
      </w:r>
      <w:r>
        <w:rPr>
          <w:rFonts w:hint="eastAsia" w:ascii="仿宋_GB2312" w:hAnsi="仿宋_GB2312" w:eastAsia="仿宋_GB2312" w:cs="仿宋_GB2312"/>
          <w:sz w:val="32"/>
          <w:szCs w:val="32"/>
          <w:u w:val="none"/>
        </w:rPr>
        <w:t>职能转变</w:t>
      </w:r>
    </w:p>
    <w:p>
      <w:pPr>
        <w:wordWrap w:val="0"/>
        <w:topLinePunct/>
        <w:spacing w:line="560" w:lineRule="exact"/>
        <w:ind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1</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 xml:space="preserve"> 完善宏观调控体系，创新调控方式，构建发展规划、财政、金融等政策协调和工作协同机制，强化经济监测预测预警能力，建立健全重大问题研究和政策储备工作机制，增强宏观调控前瞻性、针对性、协同性。</w:t>
      </w:r>
    </w:p>
    <w:p>
      <w:pPr>
        <w:wordWrap w:val="0"/>
        <w:topLinePunct/>
        <w:spacing w:line="560" w:lineRule="exact"/>
        <w:ind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2</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 xml:space="preserve"> 深化财税体制改革。加快建立现代财政制度，推进财政事权和支出责任划分改革，理顺市与旗县区收入划分，建立权责清晰、财力协调、区域均衡的市与旗县区财政关系。完善转移支付制度，优化转移支付分类，规范转移支付项目，增强地方统筹能力。逐步统一预算分配，全面实施绩效管理，建立全面规范透明、标准科学、约束有力的预算制度。全面推行政府性基金和行政事业性收费清单管理，完善监督制度。深化税收制度改革，健全地方税体系，逐步提高直接税比重，形成税法统一、税负公平、调节有度的税收制度体系。</w:t>
      </w:r>
    </w:p>
    <w:p>
      <w:pPr>
        <w:wordWrap w:val="0"/>
        <w:topLinePunct/>
        <w:spacing w:line="560" w:lineRule="exact"/>
        <w:ind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3</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 xml:space="preserve"> 防范化解地方政府债务风险。规范举债融资机制，构建“闭环”管理体系，严控法定限额内债务风险，着力防控隐性债务风险，牢牢守住不发生系统性风险的底线。</w:t>
      </w:r>
    </w:p>
    <w:p>
      <w:pPr>
        <w:wordWrap w:val="0"/>
        <w:topLinePunct/>
        <w:spacing w:line="560" w:lineRule="exact"/>
        <w:ind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（十</w:t>
      </w:r>
      <w:r>
        <w:rPr>
          <w:rFonts w:hint="eastAsia" w:ascii="仿宋_GB2312" w:hAnsi="仿宋_GB2312" w:eastAsia="仿宋_GB2312" w:cs="仿宋_GB2312"/>
          <w:sz w:val="32"/>
          <w:szCs w:val="32"/>
          <w:u w:val="none"/>
          <w:lang w:val="en-US" w:eastAsia="zh-CN"/>
        </w:rPr>
        <w:t>七</w:t>
      </w:r>
      <w:r>
        <w:rPr>
          <w:rFonts w:hint="eastAsia" w:ascii="仿宋_GB2312" w:hAnsi="仿宋_GB2312" w:eastAsia="仿宋_GB2312" w:cs="仿宋_GB2312"/>
          <w:sz w:val="32"/>
          <w:szCs w:val="32"/>
          <w:u w:val="none"/>
        </w:rPr>
        <w:t>）有关职责分工</w:t>
      </w:r>
    </w:p>
    <w:p>
      <w:pPr>
        <w:wordWrap w:val="0"/>
        <w:topLinePunct/>
        <w:spacing w:line="560" w:lineRule="exact"/>
        <w:ind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1. 税政管理职责分工。市财政局会同国家税务总局巴市税务局等部门提出地方税税目税率调整、减免税等建议，与国家税务总局巴市税务局共同上报。市财政局会同国家税务总局巴市税务局等部门组织税收实施细则和税收政策调整方案的起草工作,与国家税务总局巴市税务局共同上报和下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 非税收入管理职责分工。市财政局负责拟定和组织实施非税收入国库集中收缴制度，负责非税收入账户、收缴方式、退付退库等管理。市税务局和旗县区税务局</w:t>
      </w:r>
      <w:r>
        <w:rPr>
          <w:rFonts w:hint="eastAsia" w:ascii="仿宋_GB2312" w:hAnsi="仿宋_GB2312" w:eastAsia="仿宋_GB2312" w:cs="仿宋_GB2312"/>
          <w:sz w:val="32"/>
          <w:szCs w:val="32"/>
          <w:u w:val="none"/>
          <w:lang w:eastAsia="zh-CN"/>
        </w:rPr>
        <w:t>等部门</w:t>
      </w:r>
      <w:r>
        <w:rPr>
          <w:rFonts w:hint="eastAsia" w:ascii="仿宋_GB2312" w:hAnsi="仿宋_GB2312" w:eastAsia="仿宋_GB2312" w:cs="仿宋_GB2312"/>
          <w:sz w:val="32"/>
          <w:szCs w:val="32"/>
          <w:u w:val="none"/>
        </w:rPr>
        <w:t>按照非税收入国库集中收缴等有关规定，负责做好非税收入申报征收、会统核算、缴费检查、欠费追缴和违法处罚等工作。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3.</w:t>
      </w:r>
      <w:r>
        <w:rPr>
          <w:rFonts w:hint="eastAsia" w:ascii="仿宋_GB2312" w:hAnsi="仿宋_GB2312" w:eastAsia="仿宋_GB2312" w:cs="仿宋_GB2312"/>
          <w:sz w:val="32"/>
          <w:szCs w:val="32"/>
          <w:u w:val="none"/>
        </w:rPr>
        <w:t>与</w:t>
      </w:r>
      <w:r>
        <w:rPr>
          <w:rFonts w:hint="eastAsia" w:ascii="仿宋_GB2312" w:hAnsi="仿宋_GB2312" w:eastAsia="仿宋_GB2312" w:cs="仿宋_GB2312"/>
          <w:sz w:val="32"/>
          <w:szCs w:val="32"/>
          <w:u w:val="none"/>
          <w:lang w:val="en-US" w:eastAsia="zh-CN"/>
        </w:rPr>
        <w:t>市</w:t>
      </w:r>
      <w:r>
        <w:rPr>
          <w:rFonts w:hint="eastAsia" w:ascii="仿宋_GB2312" w:hAnsi="仿宋_GB2312" w:eastAsia="仿宋_GB2312" w:cs="仿宋_GB2312"/>
          <w:sz w:val="32"/>
          <w:szCs w:val="32"/>
          <w:u w:val="none"/>
        </w:rPr>
        <w:t>国资委在承担国有资产监督管理政策、国有企业改革等相关工作及组织编报和具体实施国有资本经营预算方面的职责分工：</w:t>
      </w:r>
      <w:r>
        <w:rPr>
          <w:rFonts w:hint="eastAsia" w:ascii="仿宋_GB2312" w:hAnsi="仿宋_GB2312" w:eastAsia="仿宋_GB2312" w:cs="仿宋_GB2312"/>
          <w:sz w:val="32"/>
          <w:szCs w:val="32"/>
          <w:u w:val="none"/>
          <w:lang w:val="en-US" w:eastAsia="zh-CN"/>
        </w:rPr>
        <w:t>市财政局</w:t>
      </w:r>
      <w:r>
        <w:rPr>
          <w:rFonts w:hint="eastAsia" w:ascii="仿宋_GB2312" w:hAnsi="仿宋_GB2312" w:eastAsia="仿宋_GB2312" w:cs="仿宋_GB2312"/>
          <w:sz w:val="32"/>
          <w:szCs w:val="32"/>
          <w:u w:val="none"/>
        </w:rPr>
        <w:t>负责制定行政事业单位国有资产监督管理制度，研究提出支持国有企业兼并重组、改革的财政政策，按规定管理金融类企业国有资产。负责拟订全</w:t>
      </w:r>
      <w:r>
        <w:rPr>
          <w:rFonts w:hint="eastAsia" w:ascii="仿宋_GB2312" w:hAnsi="仿宋_GB2312" w:eastAsia="仿宋_GB2312" w:cs="仿宋_GB2312"/>
          <w:sz w:val="32"/>
          <w:szCs w:val="32"/>
          <w:u w:val="none"/>
          <w:lang w:val="en-US" w:eastAsia="zh-CN"/>
        </w:rPr>
        <w:t>市</w:t>
      </w:r>
      <w:r>
        <w:rPr>
          <w:rFonts w:hint="eastAsia" w:ascii="仿宋_GB2312" w:hAnsi="仿宋_GB2312" w:eastAsia="仿宋_GB2312" w:cs="仿宋_GB2312"/>
          <w:sz w:val="32"/>
          <w:szCs w:val="32"/>
          <w:u w:val="none"/>
        </w:rPr>
        <w:t>国有资本经营预算制度和办法，组织实施全</w:t>
      </w:r>
      <w:r>
        <w:rPr>
          <w:rFonts w:hint="eastAsia" w:ascii="仿宋_GB2312" w:hAnsi="仿宋_GB2312" w:eastAsia="仿宋_GB2312" w:cs="仿宋_GB2312"/>
          <w:sz w:val="32"/>
          <w:szCs w:val="32"/>
          <w:u w:val="none"/>
          <w:lang w:val="en-US" w:eastAsia="zh-CN"/>
        </w:rPr>
        <w:t>市</w:t>
      </w:r>
      <w:r>
        <w:rPr>
          <w:rFonts w:hint="eastAsia" w:ascii="仿宋_GB2312" w:hAnsi="仿宋_GB2312" w:eastAsia="仿宋_GB2312" w:cs="仿宋_GB2312"/>
          <w:sz w:val="32"/>
          <w:szCs w:val="32"/>
          <w:u w:val="none"/>
        </w:rPr>
        <w:t>国有资本经营预算制度。负责组织实施</w:t>
      </w:r>
      <w:r>
        <w:rPr>
          <w:rFonts w:hint="eastAsia" w:ascii="仿宋_GB2312" w:hAnsi="仿宋_GB2312" w:eastAsia="仿宋_GB2312" w:cs="仿宋_GB2312"/>
          <w:sz w:val="32"/>
          <w:szCs w:val="32"/>
          <w:u w:val="none"/>
          <w:lang w:val="en-US" w:eastAsia="zh-CN"/>
        </w:rPr>
        <w:t>市</w:t>
      </w:r>
      <w:r>
        <w:rPr>
          <w:rFonts w:hint="eastAsia" w:ascii="仿宋_GB2312" w:hAnsi="仿宋_GB2312" w:eastAsia="仿宋_GB2312" w:cs="仿宋_GB2312"/>
          <w:sz w:val="32"/>
          <w:szCs w:val="32"/>
          <w:u w:val="none"/>
        </w:rPr>
        <w:t>本级直属国有企业国有资本经营预算制度、编报国有资本经营预算草案、监缴国有资本收益。</w:t>
      </w:r>
    </w:p>
    <w:p>
      <w:pPr>
        <w:spacing w:beforeLines="0" w:afterLines="0" w:line="600" w:lineRule="exact"/>
        <w:ind w:left="424" w:firstLine="212"/>
        <w:jc w:val="both"/>
        <w:rPr>
          <w:rFonts w:hint="default" w:ascii="Times New Roman" w:hAnsi="Times New Roman" w:eastAsia="Times New Roman"/>
          <w:b/>
          <w:color w:val="auto"/>
          <w:kern w:val="2"/>
          <w:sz w:val="32"/>
          <w:szCs w:val="24"/>
        </w:rPr>
      </w:pPr>
      <w:r>
        <w:rPr>
          <w:rFonts w:hint="eastAsia" w:ascii="黑体" w:hAnsi="黑体" w:eastAsia="黑体"/>
          <w:b/>
          <w:color w:val="auto"/>
          <w:kern w:val="2"/>
          <w:sz w:val="32"/>
          <w:szCs w:val="24"/>
        </w:rPr>
        <w:t>二、部门机构设置及决算单位构成情况</w:t>
      </w:r>
    </w:p>
    <w:p>
      <w:pPr>
        <w:spacing w:line="360" w:lineRule="auto"/>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1.根据部门职责分工，本部门内设机构包括</w:t>
      </w:r>
      <w:r>
        <w:rPr>
          <w:rFonts w:hint="eastAsia" w:ascii="仿宋_GB2312" w:hAnsi="宋体" w:eastAsia="仿宋_GB2312" w:cs="宋体"/>
          <w:sz w:val="32"/>
          <w:szCs w:val="32"/>
          <w:lang w:eastAsia="zh-CN"/>
        </w:rPr>
        <w:t>办公室、预算科、国库科、农牧科、经济建设科、自然资源和生态环境科、教科文科、社保科、行政政法科、综合科、经济贸易科、金融外经科、绩效管理和监督科、条法税政科、会计科、政府采购科、行政事业单位国有资产管理科、督查考核科、机关党委、离退休人员工作科、派驻纪检组，共</w:t>
      </w:r>
      <w:r>
        <w:rPr>
          <w:rFonts w:hint="eastAsia" w:ascii="仿宋_GB2312" w:hAnsi="宋体" w:eastAsia="仿宋_GB2312" w:cs="宋体"/>
          <w:sz w:val="32"/>
          <w:szCs w:val="32"/>
          <w:lang w:val="en-US" w:eastAsia="zh-CN"/>
        </w:rPr>
        <w:t>20个科室</w:t>
      </w:r>
      <w:r>
        <w:rPr>
          <w:rFonts w:hint="eastAsia" w:ascii="仿宋_GB2312" w:hAnsi="宋体" w:eastAsia="仿宋_GB2312" w:cs="宋体"/>
          <w:sz w:val="32"/>
          <w:szCs w:val="32"/>
        </w:rPr>
        <w:t>。本部门下属</w:t>
      </w:r>
      <w:r>
        <w:rPr>
          <w:rFonts w:hint="eastAsia" w:ascii="仿宋_GB2312" w:hAnsi="宋体" w:eastAsia="仿宋_GB2312" w:cs="宋体"/>
          <w:sz w:val="32"/>
          <w:szCs w:val="32"/>
          <w:lang w:eastAsia="zh-CN"/>
        </w:rPr>
        <w:t>独立决算二级</w:t>
      </w:r>
      <w:r>
        <w:rPr>
          <w:rFonts w:hint="eastAsia" w:ascii="仿宋_GB2312" w:hAnsi="宋体" w:eastAsia="仿宋_GB2312" w:cs="宋体"/>
          <w:sz w:val="32"/>
          <w:szCs w:val="32"/>
        </w:rPr>
        <w:t>单位包括：行政单位1家，参照公务员法管理的事业单位为</w:t>
      </w:r>
      <w:r>
        <w:rPr>
          <w:rFonts w:hint="eastAsia" w:ascii="仿宋_GB2312" w:hAnsi="宋体" w:eastAsia="仿宋_GB2312" w:cs="宋体"/>
          <w:sz w:val="32"/>
          <w:szCs w:val="32"/>
          <w:lang w:val="en-US" w:eastAsia="zh-CN"/>
        </w:rPr>
        <w:t>3</w:t>
      </w:r>
      <w:r>
        <w:rPr>
          <w:rFonts w:hint="eastAsia" w:ascii="仿宋_GB2312" w:hAnsi="宋体" w:eastAsia="仿宋_GB2312" w:cs="宋体"/>
          <w:sz w:val="32"/>
          <w:szCs w:val="32"/>
        </w:rPr>
        <w:t>家，财政补助事业单位</w:t>
      </w:r>
      <w:r>
        <w:rPr>
          <w:rFonts w:hint="eastAsia" w:ascii="仿宋_GB2312" w:hAnsi="宋体" w:eastAsia="仿宋_GB2312" w:cs="宋体"/>
          <w:sz w:val="32"/>
          <w:szCs w:val="32"/>
          <w:lang w:val="en-US" w:eastAsia="zh-CN"/>
        </w:rPr>
        <w:t>3</w:t>
      </w:r>
      <w:r>
        <w:rPr>
          <w:rFonts w:hint="eastAsia" w:ascii="仿宋_GB2312" w:hAnsi="宋体" w:eastAsia="仿宋_GB2312" w:cs="宋体"/>
          <w:sz w:val="32"/>
          <w:szCs w:val="32"/>
        </w:rPr>
        <w:t>家（下属</w:t>
      </w:r>
      <w:r>
        <w:rPr>
          <w:rFonts w:hint="eastAsia" w:ascii="仿宋_GB2312" w:hAnsi="宋体" w:eastAsia="仿宋_GB2312" w:cs="宋体"/>
          <w:sz w:val="32"/>
          <w:szCs w:val="32"/>
          <w:lang w:val="en-US" w:eastAsia="zh-CN"/>
        </w:rPr>
        <w:t>6</w:t>
      </w:r>
      <w:r>
        <w:rPr>
          <w:rFonts w:hint="eastAsia" w:ascii="仿宋_GB2312" w:hAnsi="宋体" w:eastAsia="仿宋_GB2312" w:cs="宋体"/>
          <w:sz w:val="32"/>
          <w:szCs w:val="32"/>
        </w:rPr>
        <w:t>家二级单位为公益一类事业单位）。</w:t>
      </w:r>
    </w:p>
    <w:p>
      <w:pPr>
        <w:spacing w:line="360" w:lineRule="auto"/>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从决算单位构成看，纳入本部门202</w:t>
      </w: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年度部门汇总决算编制范围的</w:t>
      </w:r>
      <w:r>
        <w:rPr>
          <w:rFonts w:hint="eastAsia" w:ascii="仿宋_GB2312" w:hAnsi="宋体" w:eastAsia="仿宋_GB2312" w:cs="宋体"/>
          <w:sz w:val="32"/>
          <w:szCs w:val="32"/>
          <w:lang w:eastAsia="zh-CN"/>
        </w:rPr>
        <w:t>决</w:t>
      </w:r>
      <w:r>
        <w:rPr>
          <w:rFonts w:hint="eastAsia" w:ascii="仿宋_GB2312" w:hAnsi="宋体" w:eastAsia="仿宋_GB2312" w:cs="宋体"/>
          <w:sz w:val="32"/>
          <w:szCs w:val="32"/>
        </w:rPr>
        <w:t>算单位共计</w:t>
      </w:r>
      <w:r>
        <w:rPr>
          <w:rFonts w:hint="eastAsia" w:ascii="仿宋_GB2312" w:hAnsi="宋体" w:eastAsia="仿宋_GB2312" w:cs="宋体"/>
          <w:sz w:val="32"/>
          <w:szCs w:val="32"/>
          <w:lang w:val="en-US" w:eastAsia="zh-CN"/>
        </w:rPr>
        <w:t>7</w:t>
      </w:r>
      <w:r>
        <w:rPr>
          <w:rFonts w:hint="eastAsia" w:ascii="仿宋_GB2312" w:hAnsi="宋体" w:eastAsia="仿宋_GB2312" w:cs="宋体"/>
          <w:sz w:val="32"/>
          <w:szCs w:val="32"/>
        </w:rPr>
        <w:t xml:space="preserve">家，详细情况见表： </w:t>
      </w:r>
    </w:p>
    <w:p>
      <w:pPr>
        <w:snapToGrid w:val="0"/>
        <w:spacing w:line="560" w:lineRule="exact"/>
        <w:rPr>
          <w:rFonts w:hint="eastAsia" w:ascii="仿宋_GB2312" w:eastAsia="仿宋_GB2312"/>
          <w:sz w:val="32"/>
          <w:szCs w:val="32"/>
        </w:rPr>
      </w:pPr>
    </w:p>
    <w:p>
      <w:pPr>
        <w:snapToGrid w:val="0"/>
        <w:spacing w:line="560" w:lineRule="exact"/>
        <w:ind w:firstLine="643" w:firstLineChars="200"/>
        <w:jc w:val="center"/>
        <w:rPr>
          <w:rFonts w:hint="eastAsia" w:eastAsia="仿宋_GB2312"/>
          <w:b/>
          <w:sz w:val="32"/>
          <w:szCs w:val="32"/>
        </w:rPr>
      </w:pPr>
      <w:r>
        <w:rPr>
          <w:rFonts w:hint="eastAsia" w:eastAsia="仿宋_GB2312"/>
          <w:b/>
          <w:sz w:val="32"/>
          <w:szCs w:val="32"/>
        </w:rPr>
        <w:t>单位情况表</w:t>
      </w:r>
    </w:p>
    <w:p>
      <w:pPr>
        <w:adjustRightInd w:val="0"/>
        <w:snapToGrid w:val="0"/>
        <w:spacing w:line="560" w:lineRule="exact"/>
        <w:ind w:firstLine="640" w:firstLineChars="200"/>
        <w:rPr>
          <w:rFonts w:hint="eastAsia" w:ascii="仿宋_GB2312" w:hAnsi="黑体" w:eastAsia="仿宋_GB2312"/>
          <w:color w:val="000000"/>
          <w:szCs w:val="21"/>
        </w:rPr>
      </w:pPr>
      <w:r>
        <w:rPr>
          <w:rFonts w:hint="eastAsia" w:ascii="黑体" w:hAnsi="黑体" w:eastAsia="黑体"/>
          <w:color w:val="000000"/>
          <w:sz w:val="32"/>
          <w:szCs w:val="32"/>
        </w:rPr>
        <w:t xml:space="preserve">                                          </w:t>
      </w:r>
    </w:p>
    <w:tbl>
      <w:tblPr>
        <w:tblStyle w:val="8"/>
        <w:tblW w:w="0" w:type="auto"/>
        <w:jc w:val="center"/>
        <w:tblLayout w:type="fixed"/>
        <w:tblCellMar>
          <w:top w:w="0" w:type="dxa"/>
          <w:left w:w="108" w:type="dxa"/>
          <w:bottom w:w="0" w:type="dxa"/>
          <w:right w:w="108" w:type="dxa"/>
        </w:tblCellMar>
      </w:tblPr>
      <w:tblGrid>
        <w:gridCol w:w="1203"/>
        <w:gridCol w:w="3780"/>
        <w:gridCol w:w="3326"/>
      </w:tblGrid>
      <w:tr>
        <w:tblPrEx>
          <w:tblCellMar>
            <w:top w:w="0" w:type="dxa"/>
            <w:left w:w="108" w:type="dxa"/>
            <w:bottom w:w="0" w:type="dxa"/>
            <w:right w:w="108" w:type="dxa"/>
          </w:tblCellMar>
        </w:tblPrEx>
        <w:trPr>
          <w:trHeight w:val="539" w:hRule="atLeast"/>
          <w:jc w:val="center"/>
        </w:trPr>
        <w:tc>
          <w:tcPr>
            <w:tcW w:w="1203" w:type="dxa"/>
            <w:tcBorders>
              <w:top w:val="single" w:color="auto" w:sz="4" w:space="0"/>
              <w:left w:val="single" w:color="auto" w:sz="4" w:space="0"/>
              <w:bottom w:val="single" w:color="auto" w:sz="4" w:space="0"/>
              <w:right w:val="single" w:color="auto" w:sz="4" w:space="0"/>
            </w:tcBorders>
            <w:noWrap w:val="0"/>
            <w:vAlign w:val="bottom"/>
          </w:tcPr>
          <w:p>
            <w:pPr>
              <w:widowControl/>
              <w:jc w:val="center"/>
              <w:rPr>
                <w:rFonts w:hint="eastAsia" w:ascii="宋体" w:hAnsi="宋体" w:cs="宋体"/>
                <w:b/>
                <w:color w:val="000000"/>
                <w:kern w:val="0"/>
                <w:sz w:val="32"/>
                <w:szCs w:val="32"/>
              </w:rPr>
            </w:pPr>
            <w:r>
              <w:rPr>
                <w:rFonts w:hint="eastAsia" w:ascii="宋体" w:hAnsi="宋体" w:cs="宋体"/>
                <w:b/>
                <w:color w:val="000000"/>
                <w:kern w:val="0"/>
                <w:sz w:val="32"/>
                <w:szCs w:val="32"/>
              </w:rPr>
              <w:t>序号</w:t>
            </w:r>
          </w:p>
        </w:tc>
        <w:tc>
          <w:tcPr>
            <w:tcW w:w="3780" w:type="dxa"/>
            <w:tcBorders>
              <w:top w:val="single" w:color="auto" w:sz="4" w:space="0"/>
              <w:left w:val="single" w:color="auto" w:sz="4" w:space="0"/>
              <w:bottom w:val="single" w:color="auto" w:sz="4" w:space="0"/>
              <w:right w:val="single" w:color="auto" w:sz="4" w:space="0"/>
            </w:tcBorders>
            <w:noWrap w:val="0"/>
            <w:vAlign w:val="bottom"/>
          </w:tcPr>
          <w:p>
            <w:pPr>
              <w:widowControl/>
              <w:jc w:val="center"/>
              <w:rPr>
                <w:rFonts w:hint="eastAsia" w:ascii="宋体" w:hAnsi="宋体" w:cs="宋体"/>
                <w:b/>
                <w:color w:val="000000"/>
                <w:kern w:val="0"/>
                <w:sz w:val="32"/>
                <w:szCs w:val="32"/>
              </w:rPr>
            </w:pPr>
            <w:r>
              <w:rPr>
                <w:rFonts w:hint="eastAsia" w:ascii="宋体" w:hAnsi="宋体" w:cs="宋体"/>
                <w:b/>
                <w:color w:val="000000"/>
                <w:kern w:val="0"/>
                <w:sz w:val="32"/>
                <w:szCs w:val="32"/>
              </w:rPr>
              <w:t>单位名称</w:t>
            </w:r>
          </w:p>
        </w:tc>
        <w:tc>
          <w:tcPr>
            <w:tcW w:w="3326" w:type="dxa"/>
            <w:tcBorders>
              <w:top w:val="single" w:color="auto" w:sz="4" w:space="0"/>
              <w:left w:val="nil"/>
              <w:bottom w:val="single" w:color="auto" w:sz="4" w:space="0"/>
              <w:right w:val="single" w:color="auto" w:sz="4" w:space="0"/>
            </w:tcBorders>
            <w:noWrap w:val="0"/>
            <w:vAlign w:val="bottom"/>
          </w:tcPr>
          <w:p>
            <w:pPr>
              <w:widowControl/>
              <w:jc w:val="center"/>
              <w:rPr>
                <w:rFonts w:hint="eastAsia" w:ascii="宋体" w:hAnsi="宋体" w:cs="宋体"/>
                <w:b/>
                <w:color w:val="000000"/>
                <w:kern w:val="0"/>
                <w:sz w:val="32"/>
                <w:szCs w:val="32"/>
              </w:rPr>
            </w:pPr>
            <w:r>
              <w:rPr>
                <w:rFonts w:hint="eastAsia" w:ascii="宋体" w:hAnsi="宋体" w:cs="宋体"/>
                <w:b/>
                <w:color w:val="000000"/>
                <w:kern w:val="0"/>
                <w:sz w:val="32"/>
                <w:szCs w:val="32"/>
              </w:rPr>
              <w:t>单位性质</w:t>
            </w:r>
          </w:p>
        </w:tc>
      </w:tr>
      <w:tr>
        <w:tblPrEx>
          <w:tblCellMar>
            <w:top w:w="0" w:type="dxa"/>
            <w:left w:w="108" w:type="dxa"/>
            <w:bottom w:w="0" w:type="dxa"/>
            <w:right w:w="108" w:type="dxa"/>
          </w:tblCellMar>
        </w:tblPrEx>
        <w:trPr>
          <w:trHeight w:val="582" w:hRule="atLeast"/>
          <w:jc w:val="center"/>
        </w:trPr>
        <w:tc>
          <w:tcPr>
            <w:tcW w:w="120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color w:val="000000"/>
                <w:kern w:val="0"/>
                <w:sz w:val="32"/>
                <w:szCs w:val="32"/>
              </w:rPr>
            </w:pPr>
            <w:r>
              <w:rPr>
                <w:rFonts w:hint="eastAsia" w:ascii="宋体" w:hAnsi="宋体" w:cs="宋体"/>
                <w:b/>
                <w:color w:val="000000"/>
                <w:kern w:val="0"/>
                <w:sz w:val="32"/>
                <w:szCs w:val="32"/>
              </w:rPr>
              <w:t>1</w:t>
            </w:r>
          </w:p>
        </w:tc>
        <w:tc>
          <w:tcPr>
            <w:tcW w:w="37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巴彦淖尔市财政局</w:t>
            </w:r>
          </w:p>
        </w:tc>
        <w:tc>
          <w:tcPr>
            <w:tcW w:w="332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行政单位</w:t>
            </w:r>
          </w:p>
        </w:tc>
      </w:tr>
      <w:tr>
        <w:tblPrEx>
          <w:tblCellMar>
            <w:top w:w="0" w:type="dxa"/>
            <w:left w:w="108" w:type="dxa"/>
            <w:bottom w:w="0" w:type="dxa"/>
            <w:right w:w="108" w:type="dxa"/>
          </w:tblCellMar>
        </w:tblPrEx>
        <w:trPr>
          <w:trHeight w:val="506" w:hRule="atLeast"/>
          <w:jc w:val="center"/>
        </w:trPr>
        <w:tc>
          <w:tcPr>
            <w:tcW w:w="120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color w:val="000000"/>
                <w:kern w:val="0"/>
                <w:sz w:val="32"/>
                <w:szCs w:val="32"/>
              </w:rPr>
            </w:pPr>
            <w:r>
              <w:rPr>
                <w:rFonts w:hint="eastAsia" w:ascii="宋体" w:hAnsi="宋体" w:cs="宋体"/>
                <w:b/>
                <w:color w:val="000000"/>
                <w:kern w:val="0"/>
                <w:sz w:val="32"/>
                <w:szCs w:val="32"/>
              </w:rPr>
              <w:t>2</w:t>
            </w:r>
          </w:p>
        </w:tc>
        <w:tc>
          <w:tcPr>
            <w:tcW w:w="37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color w:val="000000"/>
                <w:kern w:val="0"/>
                <w:szCs w:val="21"/>
                <w:lang w:eastAsia="zh-CN"/>
              </w:rPr>
            </w:pPr>
            <w:r>
              <w:rPr>
                <w:rFonts w:hint="eastAsia" w:ascii="宋体" w:hAnsi="宋体" w:cs="宋体"/>
                <w:b/>
                <w:bCs/>
                <w:color w:val="000000"/>
                <w:kern w:val="0"/>
                <w:szCs w:val="21"/>
              </w:rPr>
              <w:t>巴彦淖尔市国有资产</w:t>
            </w:r>
            <w:r>
              <w:rPr>
                <w:rFonts w:hint="eastAsia" w:ascii="宋体" w:hAnsi="宋体" w:cs="宋体"/>
                <w:b/>
                <w:bCs/>
                <w:color w:val="000000"/>
                <w:kern w:val="0"/>
                <w:szCs w:val="21"/>
                <w:lang w:eastAsia="zh-CN"/>
              </w:rPr>
              <w:t>服务中心</w:t>
            </w:r>
          </w:p>
        </w:tc>
        <w:tc>
          <w:tcPr>
            <w:tcW w:w="332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参照公务员法管理的事业单位</w:t>
            </w:r>
          </w:p>
        </w:tc>
      </w:tr>
      <w:tr>
        <w:tblPrEx>
          <w:tblCellMar>
            <w:top w:w="0" w:type="dxa"/>
            <w:left w:w="108" w:type="dxa"/>
            <w:bottom w:w="0" w:type="dxa"/>
            <w:right w:w="108" w:type="dxa"/>
          </w:tblCellMar>
        </w:tblPrEx>
        <w:trPr>
          <w:trHeight w:val="572" w:hRule="atLeast"/>
          <w:jc w:val="center"/>
        </w:trPr>
        <w:tc>
          <w:tcPr>
            <w:tcW w:w="120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color w:val="000000"/>
                <w:kern w:val="0"/>
                <w:sz w:val="32"/>
                <w:szCs w:val="32"/>
              </w:rPr>
            </w:pPr>
            <w:r>
              <w:rPr>
                <w:rFonts w:hint="eastAsia" w:ascii="宋体" w:hAnsi="宋体" w:cs="宋体"/>
                <w:b/>
                <w:color w:val="000000"/>
                <w:kern w:val="0"/>
                <w:sz w:val="32"/>
                <w:szCs w:val="32"/>
              </w:rPr>
              <w:t>3</w:t>
            </w:r>
          </w:p>
        </w:tc>
        <w:tc>
          <w:tcPr>
            <w:tcW w:w="37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巴彦淖尔国库集中收付中心</w:t>
            </w:r>
          </w:p>
        </w:tc>
        <w:tc>
          <w:tcPr>
            <w:tcW w:w="332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参照公务员法管理的事业单位</w:t>
            </w:r>
          </w:p>
        </w:tc>
      </w:tr>
      <w:tr>
        <w:tblPrEx>
          <w:tblCellMar>
            <w:top w:w="0" w:type="dxa"/>
            <w:left w:w="108" w:type="dxa"/>
            <w:bottom w:w="0" w:type="dxa"/>
            <w:right w:w="108" w:type="dxa"/>
          </w:tblCellMar>
        </w:tblPrEx>
        <w:trPr>
          <w:trHeight w:val="652" w:hRule="atLeast"/>
          <w:jc w:val="center"/>
        </w:trPr>
        <w:tc>
          <w:tcPr>
            <w:tcW w:w="120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color w:val="000000"/>
                <w:kern w:val="0"/>
                <w:sz w:val="32"/>
                <w:szCs w:val="32"/>
                <w:lang w:val="en-US" w:eastAsia="zh-CN"/>
              </w:rPr>
            </w:pPr>
            <w:r>
              <w:rPr>
                <w:rFonts w:hint="eastAsia" w:ascii="宋体" w:hAnsi="宋体" w:cs="宋体"/>
                <w:b/>
                <w:color w:val="000000"/>
                <w:kern w:val="0"/>
                <w:sz w:val="32"/>
                <w:szCs w:val="32"/>
                <w:lang w:val="en-US" w:eastAsia="zh-CN"/>
              </w:rPr>
              <w:t>4</w:t>
            </w:r>
          </w:p>
        </w:tc>
        <w:tc>
          <w:tcPr>
            <w:tcW w:w="37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color w:val="000000"/>
                <w:kern w:val="0"/>
                <w:szCs w:val="21"/>
                <w:lang w:eastAsia="zh-CN"/>
              </w:rPr>
            </w:pPr>
            <w:r>
              <w:rPr>
                <w:rFonts w:hint="eastAsia" w:ascii="宋体" w:hAnsi="宋体" w:cs="宋体"/>
                <w:b/>
                <w:color w:val="000000"/>
                <w:kern w:val="0"/>
                <w:szCs w:val="21"/>
                <w:lang w:eastAsia="zh-CN"/>
              </w:rPr>
              <w:t>巴彦淖尔市财政预算绩效评价中心</w:t>
            </w:r>
          </w:p>
        </w:tc>
        <w:tc>
          <w:tcPr>
            <w:tcW w:w="332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参照公务员法管理的事业单位</w:t>
            </w:r>
          </w:p>
        </w:tc>
      </w:tr>
      <w:tr>
        <w:tblPrEx>
          <w:tblCellMar>
            <w:top w:w="0" w:type="dxa"/>
            <w:left w:w="108" w:type="dxa"/>
            <w:bottom w:w="0" w:type="dxa"/>
            <w:right w:w="108" w:type="dxa"/>
          </w:tblCellMar>
        </w:tblPrEx>
        <w:trPr>
          <w:trHeight w:val="704" w:hRule="atLeast"/>
          <w:jc w:val="center"/>
        </w:trPr>
        <w:tc>
          <w:tcPr>
            <w:tcW w:w="120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color w:val="000000"/>
                <w:kern w:val="0"/>
                <w:sz w:val="32"/>
                <w:szCs w:val="32"/>
              </w:rPr>
            </w:pPr>
            <w:r>
              <w:rPr>
                <w:rFonts w:hint="eastAsia" w:ascii="宋体" w:hAnsi="宋体" w:cs="宋体"/>
                <w:b/>
                <w:color w:val="000000"/>
                <w:kern w:val="0"/>
                <w:sz w:val="32"/>
                <w:szCs w:val="32"/>
              </w:rPr>
              <w:t>5</w:t>
            </w:r>
          </w:p>
        </w:tc>
        <w:tc>
          <w:tcPr>
            <w:tcW w:w="37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color w:val="000000"/>
                <w:kern w:val="0"/>
                <w:szCs w:val="21"/>
              </w:rPr>
            </w:pPr>
            <w:r>
              <w:rPr>
                <w:rFonts w:hint="eastAsia" w:ascii="宋体" w:hAnsi="宋体" w:cs="宋体"/>
                <w:b/>
                <w:bCs/>
                <w:color w:val="000000"/>
                <w:kern w:val="0"/>
                <w:szCs w:val="21"/>
              </w:rPr>
              <w:t>巴彦淖尔市财政预算编审中心</w:t>
            </w:r>
          </w:p>
        </w:tc>
        <w:tc>
          <w:tcPr>
            <w:tcW w:w="332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财政补助事业单</w:t>
            </w:r>
          </w:p>
        </w:tc>
      </w:tr>
      <w:tr>
        <w:tblPrEx>
          <w:tblCellMar>
            <w:top w:w="0" w:type="dxa"/>
            <w:left w:w="108" w:type="dxa"/>
            <w:bottom w:w="0" w:type="dxa"/>
            <w:right w:w="108" w:type="dxa"/>
          </w:tblCellMar>
        </w:tblPrEx>
        <w:trPr>
          <w:trHeight w:val="700" w:hRule="atLeast"/>
          <w:jc w:val="center"/>
        </w:trPr>
        <w:tc>
          <w:tcPr>
            <w:tcW w:w="120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color w:val="000000"/>
                <w:kern w:val="0"/>
                <w:sz w:val="32"/>
                <w:szCs w:val="32"/>
              </w:rPr>
            </w:pPr>
            <w:r>
              <w:rPr>
                <w:rFonts w:hint="eastAsia" w:ascii="宋体" w:hAnsi="宋体" w:cs="宋体"/>
                <w:b/>
                <w:color w:val="000000"/>
                <w:kern w:val="0"/>
                <w:sz w:val="32"/>
                <w:szCs w:val="32"/>
              </w:rPr>
              <w:t>6</w:t>
            </w:r>
          </w:p>
        </w:tc>
        <w:tc>
          <w:tcPr>
            <w:tcW w:w="37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color w:val="000000"/>
                <w:kern w:val="0"/>
                <w:szCs w:val="21"/>
                <w:lang w:eastAsia="zh-CN"/>
              </w:rPr>
            </w:pPr>
            <w:r>
              <w:rPr>
                <w:rFonts w:hint="eastAsia" w:ascii="宋体" w:hAnsi="宋体" w:cs="宋体"/>
                <w:b/>
                <w:color w:val="000000"/>
                <w:kern w:val="0"/>
                <w:szCs w:val="21"/>
                <w:lang w:eastAsia="zh-CN"/>
              </w:rPr>
              <w:t>巴彦淖尔市财政综合保障中心</w:t>
            </w:r>
          </w:p>
        </w:tc>
        <w:tc>
          <w:tcPr>
            <w:tcW w:w="332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财政补助事业单</w:t>
            </w:r>
          </w:p>
        </w:tc>
      </w:tr>
      <w:tr>
        <w:tblPrEx>
          <w:tblCellMar>
            <w:top w:w="0" w:type="dxa"/>
            <w:left w:w="108" w:type="dxa"/>
            <w:bottom w:w="0" w:type="dxa"/>
            <w:right w:w="108" w:type="dxa"/>
          </w:tblCellMar>
        </w:tblPrEx>
        <w:trPr>
          <w:trHeight w:val="555" w:hRule="atLeast"/>
          <w:jc w:val="center"/>
        </w:trPr>
        <w:tc>
          <w:tcPr>
            <w:tcW w:w="120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color w:val="000000"/>
                <w:kern w:val="0"/>
                <w:sz w:val="32"/>
                <w:szCs w:val="32"/>
              </w:rPr>
            </w:pPr>
            <w:r>
              <w:rPr>
                <w:rFonts w:hint="eastAsia" w:ascii="宋体" w:hAnsi="宋体" w:cs="宋体"/>
                <w:b/>
                <w:color w:val="000000"/>
                <w:kern w:val="0"/>
                <w:sz w:val="32"/>
                <w:szCs w:val="32"/>
              </w:rPr>
              <w:t>7</w:t>
            </w:r>
          </w:p>
        </w:tc>
        <w:tc>
          <w:tcPr>
            <w:tcW w:w="37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color w:val="000000"/>
                <w:kern w:val="0"/>
                <w:szCs w:val="21"/>
              </w:rPr>
            </w:pPr>
            <w:r>
              <w:rPr>
                <w:rFonts w:hint="eastAsia" w:ascii="宋体" w:hAnsi="宋体" w:cs="宋体"/>
                <w:b/>
                <w:bCs/>
                <w:color w:val="000000"/>
                <w:kern w:val="0"/>
                <w:szCs w:val="21"/>
              </w:rPr>
              <w:t>巴彦淖尔市政府债务</w:t>
            </w:r>
            <w:r>
              <w:rPr>
                <w:rFonts w:hint="eastAsia" w:ascii="宋体" w:hAnsi="宋体" w:cs="宋体"/>
                <w:b/>
                <w:bCs/>
                <w:color w:val="000000"/>
                <w:kern w:val="0"/>
                <w:szCs w:val="21"/>
                <w:lang w:eastAsia="zh-CN"/>
              </w:rPr>
              <w:t>评估</w:t>
            </w:r>
            <w:r>
              <w:rPr>
                <w:rFonts w:hint="eastAsia" w:ascii="宋体" w:hAnsi="宋体" w:cs="宋体"/>
                <w:b/>
                <w:bCs/>
                <w:color w:val="000000"/>
                <w:kern w:val="0"/>
                <w:szCs w:val="21"/>
              </w:rPr>
              <w:t>中心</w:t>
            </w:r>
          </w:p>
        </w:tc>
        <w:tc>
          <w:tcPr>
            <w:tcW w:w="332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财政补助事业单位</w:t>
            </w:r>
          </w:p>
        </w:tc>
      </w:tr>
    </w:tbl>
    <w:p>
      <w:pPr>
        <w:spacing w:beforeLines="0" w:afterLines="0" w:line="360" w:lineRule="auto"/>
        <w:jc w:val="both"/>
        <w:rPr>
          <w:rFonts w:hint="default" w:ascii="Times New Roman" w:hAnsi="Times New Roman" w:eastAsia="Times New Roman"/>
          <w:color w:val="auto"/>
          <w:kern w:val="2"/>
          <w:sz w:val="32"/>
          <w:szCs w:val="24"/>
        </w:rPr>
      </w:pPr>
    </w:p>
    <w:p>
      <w:pPr>
        <w:spacing w:beforeLines="0" w:afterLines="0" w:line="600" w:lineRule="exact"/>
        <w:ind w:firstLine="643"/>
        <w:jc w:val="both"/>
        <w:rPr>
          <w:rFonts w:hint="default" w:ascii="Times New Roman" w:hAnsi="Times New Roman" w:eastAsia="Times New Roman"/>
          <w:color w:val="auto"/>
          <w:kern w:val="2"/>
          <w:sz w:val="21"/>
          <w:szCs w:val="24"/>
        </w:rPr>
      </w:pPr>
      <w:r>
        <w:rPr>
          <w:rFonts w:hint="eastAsia" w:ascii="黑体" w:hAnsi="黑体" w:eastAsia="黑体"/>
          <w:b/>
          <w:color w:val="auto"/>
          <w:kern w:val="2"/>
          <w:sz w:val="32"/>
          <w:szCs w:val="24"/>
        </w:rPr>
        <w:t>三、</w:t>
      </w:r>
      <w:r>
        <w:rPr>
          <w:rFonts w:hint="eastAsia" w:ascii="仿宋_GB2312" w:hAnsi="仿宋_GB2312" w:eastAsia="仿宋_GB2312"/>
          <w:b/>
          <w:color w:val="auto"/>
          <w:kern w:val="2"/>
          <w:sz w:val="32"/>
          <w:szCs w:val="24"/>
        </w:rPr>
        <w:t>2022</w:t>
      </w:r>
      <w:r>
        <w:rPr>
          <w:rFonts w:hint="eastAsia" w:ascii="黑体" w:hAnsi="黑体" w:eastAsia="黑体"/>
          <w:b/>
          <w:color w:val="auto"/>
          <w:kern w:val="2"/>
          <w:sz w:val="32"/>
          <w:szCs w:val="24"/>
        </w:rPr>
        <w:t>年度部门主要工作完成情况</w:t>
      </w:r>
    </w:p>
    <w:p>
      <w:pPr>
        <w:spacing w:line="360" w:lineRule="auto"/>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eastAsia="zh-CN"/>
        </w:rPr>
        <w:t xml:space="preserve"> </w:t>
      </w:r>
      <w:r>
        <w:rPr>
          <w:rFonts w:hint="eastAsia" w:ascii="仿宋_GB2312" w:hAnsi="宋体" w:eastAsia="仿宋_GB2312" w:cs="宋体"/>
          <w:sz w:val="32"/>
          <w:szCs w:val="32"/>
          <w:lang w:val="en-US" w:eastAsia="zh-CN"/>
        </w:rPr>
        <w:t>2022年《政府工作报告》明确提出，各级政府必须真正过紧日子，中央政府要带头，中央本级支出安排负增长。党和政府带头过紧日子，是传承中华民族传统美德的要求，是加强党风廉政建设的要求，也是建设节约型机关的要求，关系党和政府形象、党心民心向背，对于全社会都将起到重要的示范引领作用。</w:t>
      </w:r>
    </w:p>
    <w:p>
      <w:pPr>
        <w:spacing w:line="360" w:lineRule="auto"/>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（一）大力压减经费开支。积极落实深化政府采购制度改革精神要求，规范采购程序、优化执行机制、加强价格监测，不断提高采购资金使用效益。</w:t>
      </w:r>
    </w:p>
    <w:p>
      <w:pPr>
        <w:spacing w:line="360" w:lineRule="auto"/>
        <w:ind w:firstLine="640" w:firstLineChars="200"/>
        <w:rPr>
          <w:rFonts w:hint="default"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二）加强资源统筹整合。严格按照《党政机关厉行节约反对浪费条例》《机关事务管理条例》等规定，强化财力资源集中统管，推动办公用房、公务用车、办公家具、办公设备等统一调配、统筹保障，逐步实现经费归口、资源共享、权责匹配，避免多头管理，遏制铺张浪费。坚决落实《政府工作报告》，严禁新建楼堂馆所，从严控制维修改造项目，严格履行审批程序和执行维修改造标准。认真贯彻《党政机关办公用房管理办法》，做好深化党和国家机构改革办公用房保障工作，加强规划引领，从严规范管理，强化统筹整合，实现集约节约高效保障。严格执行《党政机关公务用车管理办法》，进一步巩固公务用车制度改革成果，统筹抓好保留车辆日常管理，严格车辆配备更新，加大调剂使用力度，积极盘活旧车资源。按照统一政策、分级管理的原则，组织开展中央行政事业单位公物仓建设和运营管理试点工作，建立健全部门间资产配置、调剂、处置联动工作机制，实现闲置资产整合利用、集中共享、经济节约。</w:t>
      </w:r>
    </w:p>
    <w:p>
      <w:pPr>
        <w:spacing w:line="360" w:lineRule="auto"/>
        <w:ind w:firstLine="640" w:firstLineChars="200"/>
        <w:rPr>
          <w:rFonts w:ascii="仿宋_GB2312" w:eastAsia="仿宋_GB2312"/>
          <w:sz w:val="32"/>
          <w:szCs w:val="32"/>
        </w:rPr>
      </w:pPr>
      <w:r>
        <w:rPr>
          <w:rFonts w:hint="eastAsia" w:ascii="仿宋_GB2312" w:hAnsi="宋体" w:eastAsia="仿宋_GB2312" w:cs="宋体"/>
          <w:sz w:val="32"/>
          <w:szCs w:val="32"/>
          <w:lang w:val="en-US" w:eastAsia="zh-CN"/>
        </w:rPr>
        <w:t>（三）努力节约能源资源。加快推进节约型机关创建行动，以创建节约型公共机构示范单位、能效领跑者、节水型单位等为载体，统筹推进绿色办公、绿色出行、绿色建筑、绿色数据中心等行动，加强能耗定额、节能改造、信息监控、投资激励等管理，做好节水、节电、节粮、节油、节纸等工作，实现工作有目标、协商有机制、示范有突破、宣传有平台、督导有手</w:t>
      </w:r>
      <w:r>
        <w:rPr>
          <w:rFonts w:hint="eastAsia" w:ascii="仿宋" w:hAnsi="仿宋" w:eastAsia="仿宋" w:cs="仿宋"/>
          <w:sz w:val="32"/>
          <w:szCs w:val="32"/>
          <w:lang w:val="en-US" w:eastAsia="zh-CN"/>
        </w:rPr>
        <w:t>段。</w:t>
      </w:r>
    </w:p>
    <w:p>
      <w:pPr>
        <w:pStyle w:val="5"/>
        <w:keepNext/>
        <w:keepLines/>
        <w:tabs>
          <w:tab w:val="left" w:pos="4392"/>
        </w:tabs>
        <w:spacing w:beforeLines="0" w:afterLines="0" w:line="360" w:lineRule="auto"/>
        <w:jc w:val="center"/>
        <w:rPr>
          <w:rFonts w:hint="eastAsia" w:ascii="宋体" w:hAnsi="宋体" w:eastAsia="宋体" w:cs="宋体"/>
          <w:color w:val="auto"/>
          <w:kern w:val="2"/>
          <w:sz w:val="36"/>
          <w:szCs w:val="24"/>
        </w:rPr>
      </w:pPr>
      <w:r>
        <w:rPr>
          <w:rFonts w:hint="eastAsia" w:ascii="宋体" w:hAnsi="宋体" w:eastAsia="宋体" w:cs="宋体"/>
          <w:color w:val="auto"/>
          <w:kern w:val="2"/>
          <w:sz w:val="36"/>
          <w:szCs w:val="24"/>
        </w:rPr>
        <w:t>第二部分  2022年度部门决算情况说明</w:t>
      </w:r>
    </w:p>
    <w:p>
      <w:pPr>
        <w:spacing w:beforeLines="0" w:afterLines="0" w:line="600" w:lineRule="exact"/>
        <w:ind w:firstLine="643"/>
        <w:jc w:val="both"/>
        <w:rPr>
          <w:rFonts w:hint="default" w:ascii="Times New Roman" w:hAnsi="Times New Roman" w:eastAsia="Times New Roman"/>
          <w:b/>
          <w:color w:val="auto"/>
          <w:kern w:val="2"/>
          <w:sz w:val="32"/>
          <w:szCs w:val="24"/>
        </w:rPr>
      </w:pPr>
      <w:r>
        <w:rPr>
          <w:rFonts w:hint="eastAsia" w:ascii="黑体" w:hAnsi="黑体" w:eastAsia="黑体"/>
          <w:b/>
          <w:color w:val="auto"/>
          <w:kern w:val="2"/>
          <w:sz w:val="32"/>
          <w:szCs w:val="24"/>
        </w:rPr>
        <w:t>一、收入支出决算总体情况说明</w:t>
      </w:r>
    </w:p>
    <w:p>
      <w:pPr>
        <w:spacing w:before="100" w:beforeLines="0" w:after="100" w:afterLines="0" w:line="580" w:lineRule="atLeast"/>
        <w:ind w:firstLine="600"/>
        <w:rPr>
          <w:rFonts w:hint="default" w:ascii="Times New Roman" w:hAnsi="Times New Roman" w:eastAsia="仿宋_GB2312"/>
          <w:color w:val="auto"/>
          <w:kern w:val="2"/>
          <w:sz w:val="32"/>
          <w:szCs w:val="24"/>
          <w:lang w:val="en-US" w:eastAsia="zh-CN"/>
        </w:rPr>
      </w:pPr>
      <w:r>
        <w:rPr>
          <w:rFonts w:hint="eastAsia" w:ascii="仿宋_GB2312" w:hAnsi="仿宋_GB2312" w:eastAsia="仿宋_GB2312"/>
          <w:color w:val="auto"/>
          <w:kern w:val="2"/>
          <w:sz w:val="32"/>
          <w:szCs w:val="24"/>
        </w:rPr>
        <w:t>内蒙古自治区巴彦淖尔市财政局部门2022年度收入、支出决算总计</w:t>
      </w:r>
      <w:r>
        <w:rPr>
          <w:rFonts w:hint="default" w:ascii="Times New Roman" w:hAnsi="Times New Roman" w:eastAsia="Times New Roman"/>
          <w:color w:val="auto"/>
          <w:kern w:val="2"/>
          <w:sz w:val="32"/>
          <w:szCs w:val="24"/>
          <w:u w:val="single"/>
        </w:rPr>
        <w:t>2,997.31</w:t>
      </w:r>
      <w:r>
        <w:rPr>
          <w:rFonts w:hint="eastAsia" w:ascii="仿宋_GB2312" w:hAnsi="仿宋_GB2312" w:eastAsia="仿宋_GB2312"/>
          <w:color w:val="auto"/>
          <w:kern w:val="2"/>
          <w:sz w:val="32"/>
          <w:szCs w:val="24"/>
        </w:rPr>
        <w:t>万元。与年初预算相比，收、支总计各增加</w:t>
      </w:r>
      <w:r>
        <w:rPr>
          <w:rFonts w:hint="default" w:ascii="Times New Roman" w:hAnsi="Times New Roman" w:eastAsia="Times New Roman"/>
          <w:color w:val="auto"/>
          <w:kern w:val="2"/>
          <w:sz w:val="32"/>
          <w:szCs w:val="24"/>
          <w:u w:val="single"/>
        </w:rPr>
        <w:t>196.67</w:t>
      </w:r>
      <w:r>
        <w:rPr>
          <w:rFonts w:hint="eastAsia" w:ascii="仿宋_GB2312" w:hAnsi="仿宋_GB2312" w:eastAsia="仿宋_GB2312"/>
          <w:color w:val="auto"/>
          <w:kern w:val="2"/>
          <w:sz w:val="32"/>
          <w:szCs w:val="24"/>
        </w:rPr>
        <w:t>万元，增长</w:t>
      </w:r>
      <w:r>
        <w:rPr>
          <w:rFonts w:hint="default" w:ascii="Times New Roman" w:hAnsi="Times New Roman" w:eastAsia="Times New Roman"/>
          <w:color w:val="auto"/>
          <w:kern w:val="2"/>
          <w:sz w:val="32"/>
          <w:szCs w:val="24"/>
          <w:u w:val="single"/>
        </w:rPr>
        <w:t>7.02</w:t>
      </w:r>
      <w:r>
        <w:rPr>
          <w:rFonts w:hint="eastAsia" w:ascii="仿宋_GB2312" w:hAnsi="仿宋_GB2312" w:eastAsia="仿宋_GB2312"/>
          <w:color w:val="auto"/>
          <w:kern w:val="2"/>
          <w:sz w:val="32"/>
          <w:szCs w:val="24"/>
        </w:rPr>
        <w:t>%，变动原因：</w:t>
      </w:r>
      <w:r>
        <w:rPr>
          <w:rFonts w:hint="eastAsia" w:ascii="仿宋" w:hAnsi="仿宋" w:eastAsia="仿宋" w:cs="仿宋"/>
          <w:color w:val="auto"/>
          <w:sz w:val="32"/>
          <w:szCs w:val="32"/>
          <w:lang w:eastAsia="zh-CN"/>
        </w:rPr>
        <w:t>主要</w:t>
      </w:r>
      <w:r>
        <w:rPr>
          <w:rFonts w:hint="eastAsia" w:ascii="仿宋" w:hAnsi="仿宋" w:eastAsia="仿宋" w:cs="仿宋"/>
          <w:sz w:val="32"/>
          <w:szCs w:val="32"/>
        </w:rPr>
        <w:t>是因</w:t>
      </w:r>
      <w:r>
        <w:rPr>
          <w:rFonts w:hint="eastAsia" w:ascii="仿宋" w:hAnsi="仿宋" w:eastAsia="仿宋" w:cs="仿宋"/>
          <w:sz w:val="32"/>
          <w:szCs w:val="32"/>
          <w:lang w:eastAsia="zh-CN"/>
        </w:rPr>
        <w:t>为</w:t>
      </w:r>
      <w:r>
        <w:rPr>
          <w:rFonts w:hint="eastAsia" w:ascii="仿宋" w:hAnsi="仿宋" w:eastAsia="仿宋" w:cs="仿宋"/>
          <w:sz w:val="32"/>
          <w:szCs w:val="32"/>
        </w:rPr>
        <w:t>政策</w:t>
      </w:r>
      <w:r>
        <w:rPr>
          <w:rFonts w:hint="eastAsia" w:ascii="仿宋" w:hAnsi="仿宋" w:eastAsia="仿宋" w:cs="仿宋"/>
          <w:sz w:val="32"/>
          <w:szCs w:val="32"/>
          <w:lang w:val="en-US" w:eastAsia="zh-CN"/>
        </w:rPr>
        <w:t>性增资</w:t>
      </w:r>
      <w:r>
        <w:rPr>
          <w:rFonts w:hint="eastAsia" w:ascii="仿宋" w:hAnsi="仿宋" w:eastAsia="仿宋" w:cs="仿宋"/>
          <w:sz w:val="32"/>
          <w:szCs w:val="32"/>
          <w:lang w:eastAsia="zh-CN"/>
        </w:rPr>
        <w:t>致使人员</w:t>
      </w:r>
      <w:r>
        <w:rPr>
          <w:rFonts w:hint="eastAsia" w:ascii="仿宋" w:hAnsi="仿宋" w:eastAsia="仿宋" w:cs="仿宋"/>
          <w:sz w:val="32"/>
          <w:szCs w:val="32"/>
          <w:lang w:val="en-US" w:eastAsia="zh-CN"/>
        </w:rPr>
        <w:t>支出</w:t>
      </w:r>
      <w:r>
        <w:rPr>
          <w:rFonts w:hint="eastAsia" w:ascii="仿宋" w:hAnsi="仿宋" w:eastAsia="仿宋" w:cs="仿宋"/>
          <w:sz w:val="32"/>
          <w:szCs w:val="32"/>
        </w:rPr>
        <w:t>确需临时追加的项目经费</w:t>
      </w:r>
      <w:r>
        <w:rPr>
          <w:rFonts w:hint="eastAsia" w:ascii="仿宋" w:hAnsi="仿宋" w:eastAsia="仿宋" w:cs="仿宋"/>
          <w:sz w:val="32"/>
          <w:szCs w:val="32"/>
          <w:lang w:eastAsia="zh-CN"/>
        </w:rPr>
        <w:t>形成收入</w:t>
      </w:r>
      <w:r>
        <w:rPr>
          <w:rFonts w:hint="eastAsia" w:ascii="仿宋_GB2312" w:hAnsi="仿宋_GB2312" w:eastAsia="仿宋_GB2312"/>
          <w:color w:val="auto"/>
          <w:kern w:val="2"/>
          <w:sz w:val="32"/>
          <w:szCs w:val="24"/>
        </w:rPr>
        <w:t>；与上年决算相比，收、支总计各减少</w:t>
      </w:r>
      <w:r>
        <w:rPr>
          <w:rFonts w:hint="default" w:ascii="Times New Roman" w:hAnsi="Times New Roman" w:eastAsia="Times New Roman"/>
          <w:color w:val="auto"/>
          <w:kern w:val="2"/>
          <w:sz w:val="32"/>
          <w:szCs w:val="24"/>
          <w:u w:val="single"/>
        </w:rPr>
        <w:t>-3,683.28</w:t>
      </w:r>
      <w:r>
        <w:rPr>
          <w:rFonts w:hint="eastAsia" w:ascii="仿宋_GB2312" w:hAnsi="仿宋_GB2312" w:eastAsia="仿宋_GB2312"/>
          <w:color w:val="auto"/>
          <w:kern w:val="2"/>
          <w:sz w:val="32"/>
          <w:szCs w:val="24"/>
        </w:rPr>
        <w:t>万元，减少</w:t>
      </w:r>
      <w:r>
        <w:rPr>
          <w:rFonts w:hint="default" w:ascii="Times New Roman" w:hAnsi="Times New Roman" w:eastAsia="Times New Roman"/>
          <w:color w:val="auto"/>
          <w:kern w:val="2"/>
          <w:sz w:val="32"/>
          <w:szCs w:val="24"/>
          <w:u w:val="single"/>
        </w:rPr>
        <w:t>-55.13</w:t>
      </w:r>
      <w:r>
        <w:rPr>
          <w:rFonts w:hint="eastAsia" w:ascii="仿宋_GB2312" w:hAnsi="仿宋_GB2312" w:eastAsia="仿宋_GB2312"/>
          <w:color w:val="auto"/>
          <w:kern w:val="2"/>
          <w:sz w:val="32"/>
          <w:szCs w:val="24"/>
        </w:rPr>
        <w:t>%。其中：</w:t>
      </w:r>
      <w:r>
        <w:rPr>
          <w:rFonts w:hint="eastAsia" w:ascii="仿宋_GB2312" w:hAnsi="仿宋_GB2312" w:eastAsia="仿宋_GB2312"/>
          <w:color w:val="auto"/>
          <w:kern w:val="2"/>
          <w:sz w:val="32"/>
          <w:szCs w:val="24"/>
          <w:lang w:val="en-US" w:eastAsia="zh-CN"/>
        </w:rPr>
        <w:t>主要原因是</w:t>
      </w:r>
      <w:r>
        <w:rPr>
          <w:rFonts w:hint="eastAsia" w:ascii="仿宋" w:hAnsi="仿宋" w:eastAsia="仿宋" w:cs="仿宋"/>
          <w:color w:val="auto"/>
          <w:sz w:val="32"/>
          <w:szCs w:val="32"/>
          <w:lang w:eastAsia="zh-CN"/>
        </w:rPr>
        <w:t>市财政局所属二级单位市国有资产</w:t>
      </w:r>
      <w:r>
        <w:rPr>
          <w:rFonts w:hint="eastAsia" w:ascii="仿宋" w:hAnsi="仿宋" w:eastAsia="仿宋" w:cs="仿宋"/>
          <w:color w:val="auto"/>
          <w:sz w:val="32"/>
          <w:szCs w:val="32"/>
          <w:lang w:val="en-US" w:eastAsia="zh-CN"/>
        </w:rPr>
        <w:t>服务中心2021年向小微企业注入资本3656万元，本年无此项支出。</w:t>
      </w:r>
    </w:p>
    <w:p>
      <w:pPr>
        <w:tabs>
          <w:tab w:val="left" w:pos="4275"/>
        </w:tabs>
        <w:spacing w:beforeLines="0" w:afterLines="0" w:line="560" w:lineRule="exact"/>
        <w:ind w:firstLine="643"/>
        <w:jc w:val="both"/>
        <w:rPr>
          <w:rFonts w:hint="default" w:ascii="Times New Roman" w:hAnsi="Times New Roman" w:eastAsia="Times New Roman"/>
          <w:b/>
          <w:color w:val="auto"/>
          <w:kern w:val="2"/>
          <w:sz w:val="32"/>
          <w:szCs w:val="24"/>
        </w:rPr>
      </w:pPr>
      <w:r>
        <w:rPr>
          <w:rFonts w:hint="eastAsia" w:ascii="楷体" w:hAnsi="楷体" w:eastAsia="楷体"/>
          <w:b/>
          <w:color w:val="auto"/>
          <w:kern w:val="2"/>
          <w:sz w:val="32"/>
          <w:szCs w:val="24"/>
        </w:rPr>
        <w:t>（一）收入决算总计</w:t>
      </w:r>
      <w:r>
        <w:rPr>
          <w:rFonts w:hint="default" w:ascii="Times New Roman" w:hAnsi="Times New Roman" w:eastAsia="Times New Roman"/>
          <w:color w:val="auto"/>
          <w:kern w:val="2"/>
          <w:sz w:val="32"/>
          <w:szCs w:val="24"/>
          <w:u w:val="single"/>
        </w:rPr>
        <w:t>2,997.31</w:t>
      </w:r>
      <w:r>
        <w:rPr>
          <w:rFonts w:hint="eastAsia" w:ascii="楷体" w:hAnsi="楷体" w:eastAsia="楷体"/>
          <w:b/>
          <w:color w:val="auto"/>
          <w:kern w:val="2"/>
          <w:sz w:val="32"/>
          <w:szCs w:val="24"/>
        </w:rPr>
        <w:t>万元。包括：</w:t>
      </w:r>
    </w:p>
    <w:p>
      <w:pPr>
        <w:spacing w:before="100" w:beforeLines="0" w:after="100" w:afterLines="0" w:line="580" w:lineRule="atLeast"/>
        <w:ind w:firstLine="600"/>
        <w:rPr>
          <w:rFonts w:hint="default" w:ascii="Times New Roman" w:hAnsi="Times New Roman" w:eastAsia="Times New Roman"/>
          <w:color w:val="auto"/>
          <w:kern w:val="2"/>
          <w:sz w:val="32"/>
          <w:szCs w:val="24"/>
        </w:rPr>
      </w:pPr>
      <w:r>
        <w:rPr>
          <w:rFonts w:hint="default" w:ascii="Times New Roman" w:hAnsi="Times New Roman" w:eastAsia="Times New Roman"/>
          <w:color w:val="auto"/>
          <w:kern w:val="2"/>
          <w:sz w:val="32"/>
          <w:szCs w:val="24"/>
        </w:rPr>
        <w:t>1.</w:t>
      </w:r>
      <w:r>
        <w:rPr>
          <w:rFonts w:hint="eastAsia" w:ascii="仿宋_GB2312" w:hAnsi="仿宋_GB2312" w:eastAsia="仿宋_GB2312"/>
          <w:color w:val="auto"/>
          <w:kern w:val="2"/>
          <w:sz w:val="32"/>
          <w:szCs w:val="24"/>
        </w:rPr>
        <w:t>本年收入决算合计</w:t>
      </w:r>
      <w:r>
        <w:rPr>
          <w:rFonts w:hint="default" w:ascii="Times New Roman" w:hAnsi="Times New Roman" w:eastAsia="Times New Roman"/>
          <w:color w:val="auto"/>
          <w:kern w:val="2"/>
          <w:sz w:val="32"/>
          <w:szCs w:val="24"/>
          <w:u w:val="single"/>
        </w:rPr>
        <w:t>2,886.39</w:t>
      </w:r>
      <w:r>
        <w:rPr>
          <w:rFonts w:hint="eastAsia" w:ascii="仿宋_GB2312" w:hAnsi="仿宋_GB2312" w:eastAsia="仿宋_GB2312"/>
          <w:color w:val="auto"/>
          <w:kern w:val="2"/>
          <w:sz w:val="32"/>
          <w:szCs w:val="24"/>
        </w:rPr>
        <w:t>万元。与上年决算相比，增加减少</w:t>
      </w:r>
      <w:r>
        <w:rPr>
          <w:rFonts w:hint="default" w:ascii="Times New Roman" w:hAnsi="Times New Roman" w:eastAsia="Times New Roman"/>
          <w:color w:val="auto"/>
          <w:kern w:val="2"/>
          <w:sz w:val="32"/>
          <w:szCs w:val="24"/>
          <w:u w:val="single"/>
        </w:rPr>
        <w:t>-3,206.65</w:t>
      </w:r>
      <w:r>
        <w:rPr>
          <w:rFonts w:hint="eastAsia" w:ascii="仿宋_GB2312" w:hAnsi="仿宋_GB2312" w:eastAsia="仿宋_GB2312"/>
          <w:color w:val="auto"/>
          <w:kern w:val="2"/>
          <w:sz w:val="32"/>
          <w:szCs w:val="24"/>
        </w:rPr>
        <w:t>万元，减少</w:t>
      </w:r>
      <w:r>
        <w:rPr>
          <w:rFonts w:hint="default" w:ascii="Times New Roman" w:hAnsi="Times New Roman" w:eastAsia="Times New Roman"/>
          <w:color w:val="auto"/>
          <w:kern w:val="2"/>
          <w:sz w:val="32"/>
          <w:szCs w:val="24"/>
          <w:u w:val="single"/>
        </w:rPr>
        <w:t>-52.63</w:t>
      </w:r>
      <w:r>
        <w:rPr>
          <w:rFonts w:hint="eastAsia" w:ascii="仿宋_GB2312" w:hAnsi="仿宋_GB2312" w:eastAsia="仿宋_GB2312"/>
          <w:color w:val="auto"/>
          <w:kern w:val="2"/>
          <w:sz w:val="32"/>
          <w:szCs w:val="24"/>
        </w:rPr>
        <w:t>%，变动原因：</w:t>
      </w:r>
      <w:r>
        <w:rPr>
          <w:rFonts w:hint="eastAsia" w:ascii="仿宋_GB2312" w:hAnsi="仿宋_GB2312" w:eastAsia="仿宋_GB2312"/>
          <w:color w:val="auto"/>
          <w:kern w:val="2"/>
          <w:sz w:val="32"/>
          <w:szCs w:val="24"/>
          <w:lang w:val="en-US" w:eastAsia="zh-CN"/>
        </w:rPr>
        <w:t>主要原因是</w:t>
      </w:r>
      <w:r>
        <w:rPr>
          <w:rFonts w:hint="eastAsia" w:ascii="仿宋" w:hAnsi="仿宋" w:eastAsia="仿宋" w:cs="仿宋"/>
          <w:color w:val="auto"/>
          <w:sz w:val="32"/>
          <w:szCs w:val="32"/>
          <w:lang w:eastAsia="zh-CN"/>
        </w:rPr>
        <w:t>市财政局所属二级单位市国有资产</w:t>
      </w:r>
      <w:r>
        <w:rPr>
          <w:rFonts w:hint="eastAsia" w:ascii="仿宋" w:hAnsi="仿宋" w:eastAsia="仿宋" w:cs="仿宋"/>
          <w:color w:val="auto"/>
          <w:sz w:val="32"/>
          <w:szCs w:val="32"/>
          <w:lang w:val="en-US" w:eastAsia="zh-CN"/>
        </w:rPr>
        <w:t>服务中心2021年向小微企业注入资本3656万元，本年无此项支出。</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default" w:ascii="Times New Roman" w:hAnsi="Times New Roman" w:eastAsia="Times New Roman"/>
          <w:color w:val="auto"/>
          <w:kern w:val="2"/>
          <w:sz w:val="32"/>
          <w:szCs w:val="24"/>
        </w:rPr>
        <w:t>2.</w:t>
      </w:r>
      <w:r>
        <w:rPr>
          <w:rFonts w:hint="eastAsia" w:ascii="仿宋_GB2312" w:hAnsi="仿宋_GB2312" w:eastAsia="仿宋_GB2312"/>
          <w:color w:val="auto"/>
          <w:kern w:val="2"/>
          <w:sz w:val="32"/>
          <w:szCs w:val="24"/>
        </w:rPr>
        <w:t>使用非财政拨款结余</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万元。与上年决算相比，增加（减少）</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万元，增长（减少）</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%，变动原因</w:t>
      </w:r>
      <w:r>
        <w:rPr>
          <w:rFonts w:hint="eastAsia" w:ascii="仿宋_GB2312" w:hAnsi="仿宋_GB2312" w:eastAsia="仿宋_GB2312"/>
          <w:color w:val="auto"/>
          <w:kern w:val="2"/>
          <w:sz w:val="32"/>
          <w:szCs w:val="24"/>
          <w:lang w:eastAsia="zh-CN"/>
        </w:rPr>
        <w:t>：</w:t>
      </w:r>
      <w:r>
        <w:rPr>
          <w:rFonts w:hint="eastAsia" w:ascii="仿宋_GB2312" w:hAnsi="仿宋_GB2312" w:eastAsia="仿宋_GB2312"/>
          <w:color w:val="auto"/>
          <w:kern w:val="2"/>
          <w:sz w:val="32"/>
          <w:szCs w:val="24"/>
          <w:lang w:val="en-US" w:eastAsia="zh-CN"/>
        </w:rPr>
        <w:t>不存在此项内容</w:t>
      </w:r>
      <w:r>
        <w:rPr>
          <w:rFonts w:hint="eastAsia" w:ascii="仿宋_GB2312" w:hAnsi="仿宋_GB2312" w:eastAsia="仿宋_GB2312"/>
          <w:color w:val="auto"/>
          <w:kern w:val="2"/>
          <w:sz w:val="32"/>
          <w:szCs w:val="24"/>
        </w:rPr>
        <w:t>。</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default" w:ascii="Times New Roman" w:hAnsi="Times New Roman" w:eastAsia="Times New Roman"/>
          <w:color w:val="auto"/>
          <w:kern w:val="2"/>
          <w:sz w:val="32"/>
          <w:szCs w:val="24"/>
        </w:rPr>
        <w:t>3.</w:t>
      </w:r>
      <w:r>
        <w:rPr>
          <w:rFonts w:hint="eastAsia" w:ascii="仿宋_GB2312" w:hAnsi="仿宋_GB2312" w:eastAsia="仿宋_GB2312"/>
          <w:color w:val="auto"/>
          <w:kern w:val="2"/>
          <w:sz w:val="32"/>
          <w:szCs w:val="24"/>
        </w:rPr>
        <w:t>年初结转和结余</w:t>
      </w:r>
      <w:r>
        <w:rPr>
          <w:rFonts w:hint="default" w:ascii="Times New Roman" w:hAnsi="Times New Roman" w:eastAsia="Times New Roman"/>
          <w:color w:val="auto"/>
          <w:kern w:val="2"/>
          <w:sz w:val="32"/>
          <w:szCs w:val="24"/>
          <w:u w:val="single"/>
        </w:rPr>
        <w:t>110.93</w:t>
      </w:r>
      <w:r>
        <w:rPr>
          <w:rFonts w:hint="eastAsia" w:ascii="仿宋_GB2312" w:hAnsi="仿宋_GB2312" w:eastAsia="仿宋_GB2312"/>
          <w:color w:val="auto"/>
          <w:kern w:val="2"/>
          <w:sz w:val="32"/>
          <w:szCs w:val="24"/>
        </w:rPr>
        <w:t>万元。与上年决算相比，减少</w:t>
      </w:r>
      <w:r>
        <w:rPr>
          <w:rFonts w:hint="default" w:ascii="Times New Roman" w:hAnsi="Times New Roman" w:eastAsia="Times New Roman"/>
          <w:color w:val="auto"/>
          <w:kern w:val="2"/>
          <w:sz w:val="32"/>
          <w:szCs w:val="24"/>
          <w:u w:val="single"/>
        </w:rPr>
        <w:t>-476.63</w:t>
      </w:r>
      <w:r>
        <w:rPr>
          <w:rFonts w:hint="eastAsia" w:ascii="仿宋_GB2312" w:hAnsi="仿宋_GB2312" w:eastAsia="仿宋_GB2312"/>
          <w:color w:val="auto"/>
          <w:kern w:val="2"/>
          <w:sz w:val="32"/>
          <w:szCs w:val="24"/>
        </w:rPr>
        <w:t>万元，减少</w:t>
      </w:r>
      <w:r>
        <w:rPr>
          <w:rFonts w:hint="default" w:ascii="Times New Roman" w:hAnsi="Times New Roman" w:eastAsia="Times New Roman"/>
          <w:color w:val="auto"/>
          <w:kern w:val="2"/>
          <w:sz w:val="32"/>
          <w:szCs w:val="24"/>
          <w:u w:val="single"/>
        </w:rPr>
        <w:t>-81.12</w:t>
      </w:r>
      <w:r>
        <w:rPr>
          <w:rFonts w:hint="eastAsia" w:ascii="仿宋_GB2312" w:hAnsi="仿宋_GB2312" w:eastAsia="仿宋_GB2312"/>
          <w:color w:val="auto"/>
          <w:kern w:val="2"/>
          <w:sz w:val="32"/>
          <w:szCs w:val="24"/>
        </w:rPr>
        <w:t>%，变动原因：</w:t>
      </w:r>
      <w:r>
        <w:rPr>
          <w:rFonts w:hint="eastAsia" w:ascii="仿宋_GB2312" w:hAnsi="仿宋_GB2312" w:eastAsia="仿宋_GB2312"/>
          <w:color w:val="auto"/>
          <w:kern w:val="2"/>
          <w:sz w:val="32"/>
          <w:szCs w:val="24"/>
          <w:lang w:val="en-US" w:eastAsia="zh-CN"/>
        </w:rPr>
        <w:t>因年末将预算资金剩余指标全部缴回财政预算，因此年初结转和结余比上年减少幅度较大</w:t>
      </w:r>
      <w:r>
        <w:rPr>
          <w:rFonts w:hint="eastAsia" w:ascii="仿宋_GB2312" w:hAnsi="仿宋_GB2312" w:eastAsia="仿宋_GB2312"/>
          <w:color w:val="auto"/>
          <w:kern w:val="2"/>
          <w:sz w:val="32"/>
          <w:szCs w:val="24"/>
        </w:rPr>
        <w:t>。</w:t>
      </w:r>
    </w:p>
    <w:p>
      <w:pPr>
        <w:tabs>
          <w:tab w:val="left" w:pos="4275"/>
        </w:tabs>
        <w:spacing w:beforeLines="0" w:afterLines="0" w:line="560" w:lineRule="exact"/>
        <w:ind w:firstLine="643"/>
        <w:jc w:val="both"/>
        <w:rPr>
          <w:rFonts w:hint="default" w:ascii="Times New Roman" w:hAnsi="Times New Roman" w:eastAsia="Times New Roman"/>
          <w:b/>
          <w:color w:val="auto"/>
          <w:kern w:val="2"/>
          <w:sz w:val="32"/>
          <w:szCs w:val="24"/>
        </w:rPr>
      </w:pPr>
      <w:r>
        <w:rPr>
          <w:rFonts w:hint="eastAsia" w:ascii="楷体" w:hAnsi="楷体" w:eastAsia="楷体"/>
          <w:b/>
          <w:color w:val="auto"/>
          <w:kern w:val="2"/>
          <w:sz w:val="32"/>
          <w:szCs w:val="24"/>
        </w:rPr>
        <w:t>（二）支出决算总计</w:t>
      </w:r>
      <w:r>
        <w:rPr>
          <w:rFonts w:hint="default" w:ascii="Times New Roman" w:hAnsi="Times New Roman" w:eastAsia="Times New Roman"/>
          <w:color w:val="auto"/>
          <w:kern w:val="2"/>
          <w:sz w:val="32"/>
          <w:szCs w:val="24"/>
          <w:u w:val="single"/>
        </w:rPr>
        <w:t>2,997.31</w:t>
      </w:r>
      <w:r>
        <w:rPr>
          <w:rFonts w:hint="eastAsia" w:ascii="楷体" w:hAnsi="楷体" w:eastAsia="楷体"/>
          <w:b/>
          <w:color w:val="auto"/>
          <w:kern w:val="2"/>
          <w:sz w:val="32"/>
          <w:szCs w:val="24"/>
        </w:rPr>
        <w:t>万元。包括：</w:t>
      </w:r>
    </w:p>
    <w:p>
      <w:pPr>
        <w:spacing w:before="100" w:beforeLines="0" w:after="100" w:afterLines="0" w:line="580" w:lineRule="atLeast"/>
        <w:ind w:firstLine="600"/>
        <w:rPr>
          <w:rFonts w:hint="default" w:ascii="Times New Roman" w:hAnsi="Times New Roman" w:eastAsia="Times New Roman"/>
          <w:color w:val="auto"/>
          <w:kern w:val="2"/>
          <w:sz w:val="32"/>
          <w:szCs w:val="24"/>
        </w:rPr>
      </w:pPr>
      <w:r>
        <w:rPr>
          <w:rFonts w:hint="default" w:ascii="Times New Roman" w:hAnsi="Times New Roman" w:eastAsia="Times New Roman"/>
          <w:color w:val="auto"/>
          <w:kern w:val="2"/>
          <w:sz w:val="32"/>
          <w:szCs w:val="24"/>
        </w:rPr>
        <w:t>1.</w:t>
      </w:r>
      <w:r>
        <w:rPr>
          <w:rFonts w:hint="eastAsia" w:ascii="仿宋_GB2312" w:hAnsi="仿宋_GB2312" w:eastAsia="仿宋_GB2312"/>
          <w:color w:val="auto"/>
          <w:kern w:val="2"/>
          <w:sz w:val="32"/>
          <w:szCs w:val="24"/>
        </w:rPr>
        <w:t>本年支出决算合计</w:t>
      </w:r>
      <w:r>
        <w:rPr>
          <w:rFonts w:hint="default" w:ascii="Times New Roman" w:hAnsi="Times New Roman" w:eastAsia="Times New Roman"/>
          <w:color w:val="auto"/>
          <w:kern w:val="2"/>
          <w:sz w:val="32"/>
          <w:szCs w:val="24"/>
          <w:u w:val="single"/>
        </w:rPr>
        <w:t>2,877.52</w:t>
      </w:r>
      <w:r>
        <w:rPr>
          <w:rFonts w:hint="eastAsia" w:ascii="仿宋_GB2312" w:hAnsi="仿宋_GB2312" w:eastAsia="仿宋_GB2312"/>
          <w:color w:val="auto"/>
          <w:kern w:val="2"/>
          <w:sz w:val="32"/>
          <w:szCs w:val="24"/>
        </w:rPr>
        <w:t>万元。与上年决算相比，减少</w:t>
      </w:r>
      <w:r>
        <w:rPr>
          <w:rFonts w:hint="default" w:ascii="Times New Roman" w:hAnsi="Times New Roman" w:eastAsia="Times New Roman"/>
          <w:color w:val="auto"/>
          <w:kern w:val="2"/>
          <w:sz w:val="32"/>
          <w:szCs w:val="24"/>
          <w:u w:val="single"/>
        </w:rPr>
        <w:t>-3,306.48</w:t>
      </w:r>
      <w:r>
        <w:rPr>
          <w:rFonts w:hint="eastAsia" w:ascii="仿宋_GB2312" w:hAnsi="仿宋_GB2312" w:eastAsia="仿宋_GB2312"/>
          <w:color w:val="auto"/>
          <w:kern w:val="2"/>
          <w:sz w:val="32"/>
          <w:szCs w:val="24"/>
        </w:rPr>
        <w:t>万元，减少</w:t>
      </w:r>
      <w:r>
        <w:rPr>
          <w:rFonts w:hint="default" w:ascii="Times New Roman" w:hAnsi="Times New Roman" w:eastAsia="Times New Roman"/>
          <w:color w:val="auto"/>
          <w:kern w:val="2"/>
          <w:sz w:val="32"/>
          <w:szCs w:val="24"/>
          <w:u w:val="single"/>
        </w:rPr>
        <w:t>-53.47</w:t>
      </w:r>
      <w:r>
        <w:rPr>
          <w:rFonts w:hint="eastAsia" w:ascii="仿宋_GB2312" w:hAnsi="仿宋_GB2312" w:eastAsia="仿宋_GB2312"/>
          <w:color w:val="auto"/>
          <w:kern w:val="2"/>
          <w:sz w:val="32"/>
          <w:szCs w:val="24"/>
        </w:rPr>
        <w:t>%，变动原因：</w:t>
      </w:r>
      <w:r>
        <w:rPr>
          <w:rFonts w:hint="eastAsia" w:ascii="仿宋_GB2312" w:hAnsi="仿宋_GB2312" w:eastAsia="仿宋_GB2312"/>
          <w:color w:val="auto"/>
          <w:kern w:val="2"/>
          <w:sz w:val="32"/>
          <w:szCs w:val="24"/>
          <w:lang w:val="en-US" w:eastAsia="zh-CN"/>
        </w:rPr>
        <w:t>主要原因是</w:t>
      </w:r>
      <w:r>
        <w:rPr>
          <w:rFonts w:hint="eastAsia" w:ascii="仿宋" w:hAnsi="仿宋" w:eastAsia="仿宋" w:cs="仿宋"/>
          <w:color w:val="auto"/>
          <w:sz w:val="32"/>
          <w:szCs w:val="32"/>
          <w:lang w:eastAsia="zh-CN"/>
        </w:rPr>
        <w:t>市财政局所属二级单位市国有资产</w:t>
      </w:r>
      <w:r>
        <w:rPr>
          <w:rFonts w:hint="eastAsia" w:ascii="仿宋" w:hAnsi="仿宋" w:eastAsia="仿宋" w:cs="仿宋"/>
          <w:color w:val="auto"/>
          <w:sz w:val="32"/>
          <w:szCs w:val="32"/>
          <w:lang w:val="en-US" w:eastAsia="zh-CN"/>
        </w:rPr>
        <w:t>服务中心2021年向小微企业注入资本3656万元，本年无此项支出。</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default" w:ascii="Times New Roman" w:hAnsi="Times New Roman" w:eastAsia="Times New Roman"/>
          <w:color w:val="auto"/>
          <w:kern w:val="2"/>
          <w:sz w:val="32"/>
          <w:szCs w:val="24"/>
        </w:rPr>
        <w:t>2.</w:t>
      </w:r>
      <w:r>
        <w:rPr>
          <w:rFonts w:hint="eastAsia" w:ascii="仿宋_GB2312" w:hAnsi="仿宋_GB2312" w:eastAsia="仿宋_GB2312"/>
          <w:color w:val="auto"/>
          <w:kern w:val="2"/>
          <w:sz w:val="32"/>
          <w:szCs w:val="24"/>
        </w:rPr>
        <w:t>结余分配</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万元。结余分配事项：</w:t>
      </w:r>
      <w:r>
        <w:rPr>
          <w:rFonts w:hint="eastAsia" w:ascii="仿宋_GB2312" w:hAnsi="仿宋_GB2312" w:eastAsia="仿宋_GB2312"/>
          <w:color w:val="auto"/>
          <w:kern w:val="2"/>
          <w:sz w:val="32"/>
          <w:szCs w:val="24"/>
          <w:lang w:val="en-US" w:eastAsia="zh-CN"/>
        </w:rPr>
        <w:t>0</w:t>
      </w:r>
      <w:r>
        <w:rPr>
          <w:rFonts w:hint="eastAsia" w:ascii="仿宋_GB2312" w:hAnsi="仿宋_GB2312" w:eastAsia="仿宋_GB2312"/>
          <w:color w:val="auto"/>
          <w:kern w:val="2"/>
          <w:sz w:val="32"/>
          <w:szCs w:val="24"/>
        </w:rPr>
        <w:t>。与上年决算相比，增加（减少）</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万元，增长（减少）</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%，变动原因：</w:t>
      </w:r>
      <w:r>
        <w:rPr>
          <w:rFonts w:hint="eastAsia" w:ascii="仿宋_GB2312" w:hAnsi="仿宋_GB2312" w:eastAsia="仿宋_GB2312"/>
          <w:color w:val="auto"/>
          <w:kern w:val="2"/>
          <w:sz w:val="32"/>
          <w:szCs w:val="24"/>
          <w:lang w:val="en-US" w:eastAsia="zh-CN"/>
        </w:rPr>
        <w:t>不存在此项内容</w:t>
      </w:r>
      <w:r>
        <w:rPr>
          <w:rFonts w:hint="eastAsia" w:ascii="仿宋_GB2312" w:hAnsi="仿宋_GB2312" w:eastAsia="仿宋_GB2312"/>
          <w:color w:val="auto"/>
          <w:kern w:val="2"/>
          <w:sz w:val="32"/>
          <w:szCs w:val="24"/>
        </w:rPr>
        <w:t>。</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default" w:ascii="Times New Roman" w:hAnsi="Times New Roman" w:eastAsia="Times New Roman"/>
          <w:color w:val="auto"/>
          <w:kern w:val="2"/>
          <w:sz w:val="32"/>
          <w:szCs w:val="24"/>
        </w:rPr>
        <w:t>3.</w:t>
      </w:r>
      <w:r>
        <w:rPr>
          <w:rFonts w:hint="eastAsia" w:ascii="仿宋_GB2312" w:hAnsi="仿宋_GB2312" w:eastAsia="仿宋_GB2312"/>
          <w:color w:val="auto"/>
          <w:kern w:val="2"/>
          <w:sz w:val="32"/>
          <w:szCs w:val="24"/>
        </w:rPr>
        <w:t>年末结转和结余</w:t>
      </w:r>
      <w:r>
        <w:rPr>
          <w:rFonts w:hint="default" w:ascii="Times New Roman" w:hAnsi="Times New Roman" w:eastAsia="Times New Roman"/>
          <w:color w:val="auto"/>
          <w:kern w:val="2"/>
          <w:sz w:val="32"/>
          <w:szCs w:val="24"/>
          <w:u w:val="single"/>
        </w:rPr>
        <w:t>119.79</w:t>
      </w:r>
      <w:r>
        <w:rPr>
          <w:rFonts w:hint="eastAsia" w:ascii="仿宋_GB2312" w:hAnsi="仿宋_GB2312" w:eastAsia="仿宋_GB2312"/>
          <w:color w:val="auto"/>
          <w:kern w:val="2"/>
          <w:sz w:val="32"/>
          <w:szCs w:val="24"/>
        </w:rPr>
        <w:t>万元。结转和结余事项：</w:t>
      </w:r>
      <w:r>
        <w:rPr>
          <w:rFonts w:hint="eastAsia" w:ascii="仿宋_GB2312" w:hAnsi="仿宋_GB2312" w:eastAsia="仿宋_GB2312"/>
          <w:color w:val="auto"/>
          <w:kern w:val="2"/>
          <w:sz w:val="32"/>
          <w:szCs w:val="24"/>
          <w:lang w:val="en-US" w:eastAsia="zh-CN"/>
        </w:rPr>
        <w:t>主要是涉及到职工个人社会保险等扣款及其他应付款项</w:t>
      </w:r>
      <w:r>
        <w:rPr>
          <w:rFonts w:hint="eastAsia" w:ascii="仿宋_GB2312" w:hAnsi="仿宋_GB2312" w:eastAsia="仿宋_GB2312"/>
          <w:color w:val="auto"/>
          <w:kern w:val="2"/>
          <w:sz w:val="32"/>
          <w:szCs w:val="24"/>
        </w:rPr>
        <w:t>。与上年决算相比，减少</w:t>
      </w:r>
      <w:r>
        <w:rPr>
          <w:rFonts w:hint="default" w:ascii="Times New Roman" w:hAnsi="Times New Roman" w:eastAsia="Times New Roman"/>
          <w:color w:val="auto"/>
          <w:kern w:val="2"/>
          <w:sz w:val="32"/>
          <w:szCs w:val="24"/>
          <w:u w:val="single"/>
        </w:rPr>
        <w:t>-376.8</w:t>
      </w:r>
      <w:r>
        <w:rPr>
          <w:rFonts w:hint="eastAsia" w:ascii="仿宋_GB2312" w:hAnsi="仿宋_GB2312" w:eastAsia="仿宋_GB2312"/>
          <w:color w:val="auto"/>
          <w:kern w:val="2"/>
          <w:sz w:val="32"/>
          <w:szCs w:val="24"/>
        </w:rPr>
        <w:t>万元，减少</w:t>
      </w:r>
      <w:r>
        <w:rPr>
          <w:rFonts w:hint="default" w:ascii="Times New Roman" w:hAnsi="Times New Roman" w:eastAsia="Times New Roman"/>
          <w:color w:val="auto"/>
          <w:kern w:val="2"/>
          <w:sz w:val="32"/>
          <w:szCs w:val="24"/>
          <w:u w:val="single"/>
        </w:rPr>
        <w:t>-75.88</w:t>
      </w:r>
      <w:r>
        <w:rPr>
          <w:rFonts w:hint="eastAsia" w:ascii="仿宋_GB2312" w:hAnsi="仿宋_GB2312" w:eastAsia="仿宋_GB2312"/>
          <w:color w:val="auto"/>
          <w:kern w:val="2"/>
          <w:sz w:val="32"/>
          <w:szCs w:val="24"/>
        </w:rPr>
        <w:t>%，变动原因：</w:t>
      </w:r>
      <w:r>
        <w:rPr>
          <w:rFonts w:hint="eastAsia" w:ascii="仿宋_GB2312" w:hAnsi="仿宋_GB2312" w:eastAsia="仿宋_GB2312"/>
          <w:color w:val="auto"/>
          <w:kern w:val="2"/>
          <w:sz w:val="32"/>
          <w:szCs w:val="24"/>
          <w:lang w:val="en-US" w:eastAsia="zh-CN"/>
        </w:rPr>
        <w:t>因年末将预算资金剩余指标全部缴回财政预算，因此年初结转和结余比上年减少幅度较大</w:t>
      </w:r>
      <w:r>
        <w:rPr>
          <w:rFonts w:hint="eastAsia" w:ascii="仿宋_GB2312" w:hAnsi="仿宋_GB2312" w:eastAsia="仿宋_GB2312"/>
          <w:color w:val="auto"/>
          <w:kern w:val="2"/>
          <w:sz w:val="32"/>
          <w:szCs w:val="24"/>
        </w:rPr>
        <w:t>。</w:t>
      </w:r>
    </w:p>
    <w:p>
      <w:pPr>
        <w:spacing w:beforeLines="0" w:afterLines="0" w:line="600" w:lineRule="exact"/>
        <w:ind w:firstLine="643"/>
        <w:jc w:val="both"/>
        <w:rPr>
          <w:rFonts w:hint="default" w:ascii="Times New Roman" w:hAnsi="Times New Roman" w:eastAsia="Times New Roman"/>
          <w:b/>
          <w:color w:val="auto"/>
          <w:kern w:val="2"/>
          <w:sz w:val="32"/>
          <w:szCs w:val="24"/>
        </w:rPr>
      </w:pPr>
      <w:r>
        <w:rPr>
          <w:rFonts w:hint="eastAsia" w:ascii="黑体" w:hAnsi="黑体" w:eastAsia="黑体"/>
          <w:b/>
          <w:color w:val="auto"/>
          <w:kern w:val="2"/>
          <w:sz w:val="32"/>
          <w:szCs w:val="24"/>
        </w:rPr>
        <w:t>二、收入决算情况说明</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内蒙古自治区巴彦淖尔市财政局部门2022年度本年收入决算合计</w:t>
      </w:r>
      <w:r>
        <w:rPr>
          <w:rFonts w:hint="default" w:ascii="Times New Roman" w:hAnsi="Times New Roman" w:eastAsia="Times New Roman"/>
          <w:color w:val="auto"/>
          <w:kern w:val="2"/>
          <w:sz w:val="32"/>
          <w:szCs w:val="24"/>
          <w:u w:val="single"/>
        </w:rPr>
        <w:t>2,886.39</w:t>
      </w:r>
      <w:r>
        <w:rPr>
          <w:rFonts w:hint="eastAsia" w:ascii="仿宋_GB2312" w:hAnsi="仿宋_GB2312" w:eastAsia="仿宋_GB2312"/>
          <w:color w:val="auto"/>
          <w:kern w:val="2"/>
          <w:sz w:val="32"/>
          <w:szCs w:val="24"/>
        </w:rPr>
        <w:t>万元，其中：</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本年一般公共预算财政拨款收入</w:t>
      </w:r>
      <w:r>
        <w:rPr>
          <w:rFonts w:hint="default" w:ascii="Times New Roman" w:hAnsi="Times New Roman" w:eastAsia="Times New Roman"/>
          <w:color w:val="auto"/>
          <w:kern w:val="2"/>
          <w:sz w:val="32"/>
          <w:szCs w:val="24"/>
          <w:u w:val="single"/>
        </w:rPr>
        <w:t>2,886.39</w:t>
      </w:r>
      <w:r>
        <w:rPr>
          <w:rFonts w:hint="eastAsia" w:ascii="仿宋_GB2312" w:hAnsi="仿宋_GB2312" w:eastAsia="仿宋_GB2312"/>
          <w:color w:val="auto"/>
          <w:kern w:val="2"/>
          <w:sz w:val="32"/>
          <w:szCs w:val="24"/>
        </w:rPr>
        <w:t>万元，占</w:t>
      </w:r>
      <w:r>
        <w:rPr>
          <w:rFonts w:hint="default" w:ascii="Times New Roman" w:hAnsi="Times New Roman" w:eastAsia="Times New Roman"/>
          <w:color w:val="auto"/>
          <w:kern w:val="2"/>
          <w:sz w:val="32"/>
          <w:szCs w:val="24"/>
          <w:u w:val="single"/>
        </w:rPr>
        <w:t>100</w:t>
      </w:r>
      <w:r>
        <w:rPr>
          <w:rFonts w:hint="eastAsia" w:ascii="仿宋_GB2312" w:hAnsi="仿宋_GB2312" w:eastAsia="仿宋_GB2312"/>
          <w:color w:val="auto"/>
          <w:kern w:val="2"/>
          <w:sz w:val="32"/>
          <w:szCs w:val="24"/>
        </w:rPr>
        <w:t>%；</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本年政府性基金预算财政拨款收入</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万元，占</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本年国有资本经营预算财政拨款收入</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万元，占</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本年上级补助收入</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万元，占</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本年事业收入</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万元，占</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本年经营收入</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万元，占</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本年附属单位上缴收入</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万元，占</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本年其他收入</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万元，占</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w:t>
      </w:r>
    </w:p>
    <w:p>
      <w:pPr>
        <w:spacing w:beforeLines="0" w:afterLines="0" w:line="560" w:lineRule="exact"/>
        <w:jc w:val="both"/>
        <w:rPr>
          <w:rFonts w:hint="default" w:ascii="Times New Roman" w:hAnsi="Times New Roman" w:eastAsia="Times New Roman"/>
          <w:color w:val="auto"/>
          <w:kern w:val="2"/>
          <w:sz w:val="32"/>
          <w:szCs w:val="24"/>
        </w:rPr>
      </w:pPr>
    </w:p>
    <w:p>
      <w:pPr>
        <w:spacing w:beforeLines="0" w:afterLines="0" w:line="560" w:lineRule="exact"/>
        <w:ind w:firstLine="640"/>
        <w:jc w:val="center"/>
        <w:rPr>
          <w:rFonts w:hint="eastAsia" w:ascii="仿宋_GB2312" w:hAnsi="仿宋_GB2312" w:eastAsia="仿宋_GB2312"/>
          <w:color w:val="0000FF"/>
          <w:kern w:val="2"/>
          <w:sz w:val="32"/>
          <w:szCs w:val="24"/>
        </w:rPr>
      </w:pPr>
      <w:r>
        <w:rPr>
          <w:rFonts w:hint="eastAsia" w:ascii="仿宋_GB2312" w:hAnsi="仿宋_GB2312" w:eastAsia="仿宋_GB2312"/>
          <w:color w:val="auto"/>
          <w:kern w:val="2"/>
          <w:sz w:val="32"/>
          <w:szCs w:val="24"/>
        </w:rPr>
        <w:t>收入决算图</w:t>
      </w:r>
    </w:p>
    <w:p>
      <w:pPr>
        <w:pStyle w:val="2"/>
        <w:rPr>
          <w:rFonts w:hint="default"/>
        </w:rPr>
      </w:pPr>
      <w:r>
        <w:drawing>
          <wp:inline distT="0" distB="0" distL="114300" distR="114300">
            <wp:extent cx="4572000" cy="2814320"/>
            <wp:effectExtent l="4445" t="4445" r="14605" b="19685"/>
            <wp:docPr id="1"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beforeLines="0" w:afterLines="0" w:line="600" w:lineRule="exact"/>
        <w:ind w:firstLine="643"/>
        <w:jc w:val="both"/>
        <w:rPr>
          <w:rFonts w:hint="default" w:ascii="Times New Roman" w:hAnsi="Times New Roman" w:eastAsia="Times New Roman"/>
          <w:color w:val="auto"/>
          <w:kern w:val="2"/>
          <w:sz w:val="32"/>
          <w:szCs w:val="24"/>
        </w:rPr>
      </w:pPr>
      <w:r>
        <w:rPr>
          <w:rFonts w:hint="eastAsia" w:ascii="黑体" w:hAnsi="黑体" w:eastAsia="黑体"/>
          <w:b/>
          <w:color w:val="auto"/>
          <w:kern w:val="2"/>
          <w:sz w:val="32"/>
          <w:szCs w:val="24"/>
        </w:rPr>
        <w:t>三、支出决算情况说明</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内蒙古自治区巴彦淖尔市财政局部门2022年度本年支出决算合计</w:t>
      </w:r>
      <w:r>
        <w:rPr>
          <w:rFonts w:hint="default" w:ascii="Times New Roman" w:hAnsi="Times New Roman" w:eastAsia="Times New Roman"/>
          <w:color w:val="auto"/>
          <w:kern w:val="2"/>
          <w:sz w:val="32"/>
          <w:szCs w:val="24"/>
          <w:u w:val="single"/>
        </w:rPr>
        <w:t>2,877.52</w:t>
      </w:r>
      <w:r>
        <w:rPr>
          <w:rFonts w:hint="eastAsia" w:ascii="仿宋_GB2312" w:hAnsi="仿宋_GB2312" w:eastAsia="仿宋_GB2312"/>
          <w:color w:val="auto"/>
          <w:kern w:val="2"/>
          <w:sz w:val="32"/>
          <w:szCs w:val="24"/>
        </w:rPr>
        <w:t>万元，其中：</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本年基本支出</w:t>
      </w:r>
      <w:r>
        <w:rPr>
          <w:rFonts w:hint="default" w:ascii="Times New Roman" w:hAnsi="Times New Roman" w:eastAsia="Times New Roman"/>
          <w:color w:val="auto"/>
          <w:kern w:val="2"/>
          <w:sz w:val="32"/>
          <w:szCs w:val="24"/>
          <w:u w:val="single"/>
        </w:rPr>
        <w:t>2,092.41</w:t>
      </w:r>
      <w:r>
        <w:rPr>
          <w:rFonts w:hint="eastAsia" w:ascii="仿宋_GB2312" w:hAnsi="仿宋_GB2312" w:eastAsia="仿宋_GB2312"/>
          <w:color w:val="auto"/>
          <w:kern w:val="2"/>
          <w:sz w:val="32"/>
          <w:szCs w:val="24"/>
        </w:rPr>
        <w:t>万元，占</w:t>
      </w:r>
      <w:r>
        <w:rPr>
          <w:rFonts w:hint="default" w:ascii="Times New Roman" w:hAnsi="Times New Roman" w:eastAsia="Times New Roman"/>
          <w:color w:val="auto"/>
          <w:kern w:val="2"/>
          <w:sz w:val="32"/>
          <w:szCs w:val="24"/>
          <w:u w:val="single"/>
        </w:rPr>
        <w:t>72.72</w:t>
      </w:r>
      <w:r>
        <w:rPr>
          <w:rFonts w:hint="eastAsia" w:ascii="仿宋_GB2312" w:hAnsi="仿宋_GB2312" w:eastAsia="仿宋_GB2312"/>
          <w:color w:val="auto"/>
          <w:kern w:val="2"/>
          <w:sz w:val="32"/>
          <w:szCs w:val="24"/>
        </w:rPr>
        <w:t>%；</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本年项目支出</w:t>
      </w:r>
      <w:r>
        <w:rPr>
          <w:rFonts w:hint="default" w:ascii="Times New Roman" w:hAnsi="Times New Roman" w:eastAsia="Times New Roman"/>
          <w:color w:val="auto"/>
          <w:kern w:val="2"/>
          <w:sz w:val="32"/>
          <w:szCs w:val="24"/>
          <w:u w:val="single"/>
        </w:rPr>
        <w:t>785.12</w:t>
      </w:r>
      <w:r>
        <w:rPr>
          <w:rFonts w:hint="eastAsia" w:ascii="仿宋_GB2312" w:hAnsi="仿宋_GB2312" w:eastAsia="仿宋_GB2312"/>
          <w:color w:val="auto"/>
          <w:kern w:val="2"/>
          <w:sz w:val="32"/>
          <w:szCs w:val="24"/>
        </w:rPr>
        <w:t>万元，占</w:t>
      </w:r>
      <w:r>
        <w:rPr>
          <w:rFonts w:hint="default" w:ascii="Times New Roman" w:hAnsi="Times New Roman" w:eastAsia="Times New Roman"/>
          <w:color w:val="auto"/>
          <w:kern w:val="2"/>
          <w:sz w:val="32"/>
          <w:szCs w:val="24"/>
          <w:u w:val="single"/>
        </w:rPr>
        <w:t>27.28</w:t>
      </w:r>
      <w:r>
        <w:rPr>
          <w:rFonts w:hint="eastAsia" w:ascii="仿宋_GB2312" w:hAnsi="仿宋_GB2312" w:eastAsia="仿宋_GB2312"/>
          <w:color w:val="auto"/>
          <w:kern w:val="2"/>
          <w:sz w:val="32"/>
          <w:szCs w:val="24"/>
        </w:rPr>
        <w:t>%；</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本年上缴上级支出</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万元，占</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本年经营支出</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万元，占</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w:t>
      </w:r>
    </w:p>
    <w:p>
      <w:pPr>
        <w:spacing w:beforeLines="0" w:afterLines="0" w:line="560" w:lineRule="exact"/>
        <w:ind w:firstLine="640"/>
        <w:jc w:val="both"/>
        <w:rPr>
          <w:rFonts w:hint="eastAsia" w:ascii="仿宋_GB2312" w:hAnsi="仿宋_GB2312" w:eastAsia="仿宋_GB2312"/>
          <w:color w:val="auto"/>
          <w:kern w:val="2"/>
          <w:sz w:val="32"/>
          <w:szCs w:val="24"/>
        </w:rPr>
      </w:pPr>
      <w:r>
        <w:rPr>
          <w:rFonts w:hint="eastAsia" w:ascii="仿宋_GB2312" w:hAnsi="仿宋_GB2312" w:eastAsia="仿宋_GB2312"/>
          <w:color w:val="auto"/>
          <w:kern w:val="2"/>
          <w:sz w:val="32"/>
          <w:szCs w:val="24"/>
        </w:rPr>
        <w:t>本年对附属单位补助支出</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万元，占</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w:t>
      </w:r>
    </w:p>
    <w:p>
      <w:pPr>
        <w:spacing w:beforeLines="0" w:afterLines="0" w:line="560" w:lineRule="exact"/>
        <w:jc w:val="center"/>
        <w:rPr>
          <w:rFonts w:hint="default" w:ascii="Times New Roman" w:hAnsi="Times New Roman" w:eastAsia="Times New Roman"/>
          <w:color w:val="auto"/>
          <w:kern w:val="2"/>
          <w:sz w:val="32"/>
          <w:szCs w:val="24"/>
        </w:rPr>
      </w:pPr>
      <w:r>
        <w:rPr>
          <w:rFonts w:hint="eastAsia" w:hAnsi="仿宋_GB2312"/>
          <w:color w:val="auto"/>
          <w:kern w:val="2"/>
          <w:sz w:val="32"/>
          <w:szCs w:val="24"/>
          <w:lang w:val="en-US" w:eastAsia="zh-CN"/>
        </w:rPr>
        <w:t xml:space="preserve">  </w:t>
      </w:r>
      <w:r>
        <w:rPr>
          <w:rFonts w:hint="eastAsia" w:ascii="仿宋_GB2312" w:hAnsi="仿宋_GB2312" w:eastAsia="仿宋_GB2312"/>
          <w:color w:val="auto"/>
          <w:kern w:val="2"/>
          <w:sz w:val="32"/>
          <w:szCs w:val="24"/>
        </w:rPr>
        <w:t>支出决算图</w:t>
      </w:r>
    </w:p>
    <w:p>
      <w:pPr>
        <w:pStyle w:val="2"/>
        <w:rPr>
          <w:rFonts w:hint="default" w:ascii="Times New Roman" w:hAnsi="Times New Roman" w:eastAsia="Times New Roman"/>
          <w:color w:val="auto"/>
          <w:kern w:val="2"/>
          <w:sz w:val="32"/>
          <w:szCs w:val="24"/>
        </w:rPr>
      </w:pPr>
      <w:r>
        <w:drawing>
          <wp:inline distT="0" distB="0" distL="114300" distR="114300">
            <wp:extent cx="4575175" cy="2819400"/>
            <wp:effectExtent l="4445" t="4445" r="11430"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beforeLines="0" w:afterLines="0" w:line="560" w:lineRule="exact"/>
        <w:jc w:val="center"/>
        <w:rPr>
          <w:rFonts w:hint="default" w:ascii="Times New Roman" w:hAnsi="Times New Roman" w:eastAsia="Times New Roman"/>
          <w:color w:val="auto"/>
          <w:kern w:val="2"/>
          <w:sz w:val="32"/>
          <w:szCs w:val="24"/>
        </w:rPr>
      </w:pPr>
    </w:p>
    <w:p>
      <w:pPr>
        <w:spacing w:beforeLines="0" w:afterLines="0" w:line="600" w:lineRule="exact"/>
        <w:ind w:firstLine="643"/>
        <w:jc w:val="both"/>
        <w:rPr>
          <w:rFonts w:hint="default" w:ascii="Times New Roman" w:hAnsi="Times New Roman" w:eastAsia="Times New Roman"/>
          <w:b/>
          <w:color w:val="auto"/>
          <w:kern w:val="2"/>
          <w:sz w:val="32"/>
          <w:szCs w:val="24"/>
        </w:rPr>
      </w:pPr>
      <w:r>
        <w:rPr>
          <w:rFonts w:hint="eastAsia" w:ascii="黑体" w:hAnsi="黑体" w:eastAsia="黑体"/>
          <w:b/>
          <w:color w:val="auto"/>
          <w:kern w:val="2"/>
          <w:sz w:val="32"/>
          <w:szCs w:val="24"/>
        </w:rPr>
        <w:t>四、财政拨款收入支出决算总体情况说明</w:t>
      </w:r>
    </w:p>
    <w:p>
      <w:pPr>
        <w:spacing w:before="100" w:beforeLines="0" w:after="100" w:afterLines="0" w:line="580" w:lineRule="atLeast"/>
        <w:ind w:firstLine="600"/>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内蒙古自治区巴彦淖尔市财政局部门</w:t>
      </w:r>
      <w:r>
        <w:rPr>
          <w:rFonts w:hint="default" w:ascii="Times New Roman" w:hAnsi="Times New Roman" w:eastAsia="Times New Roman"/>
          <w:color w:val="auto"/>
          <w:kern w:val="2"/>
          <w:sz w:val="32"/>
          <w:szCs w:val="24"/>
        </w:rPr>
        <w:t xml:space="preserve"> </w:t>
      </w:r>
      <w:r>
        <w:rPr>
          <w:rFonts w:hint="eastAsia" w:ascii="仿宋_GB2312" w:hAnsi="仿宋_GB2312" w:eastAsia="仿宋_GB2312"/>
          <w:color w:val="auto"/>
          <w:kern w:val="2"/>
          <w:sz w:val="32"/>
          <w:szCs w:val="24"/>
        </w:rPr>
        <w:t>2022年度财政拨款收入、支出决算总计</w:t>
      </w:r>
      <w:r>
        <w:rPr>
          <w:rFonts w:hint="default" w:ascii="Times New Roman" w:hAnsi="Times New Roman" w:eastAsia="Times New Roman"/>
          <w:color w:val="auto"/>
          <w:kern w:val="2"/>
          <w:sz w:val="32"/>
          <w:szCs w:val="24"/>
          <w:u w:val="single"/>
        </w:rPr>
        <w:t>2,997.31</w:t>
      </w:r>
      <w:r>
        <w:rPr>
          <w:rFonts w:hint="eastAsia" w:ascii="仿宋_GB2312" w:hAnsi="仿宋_GB2312" w:eastAsia="仿宋_GB2312"/>
          <w:color w:val="auto"/>
          <w:kern w:val="2"/>
          <w:sz w:val="32"/>
          <w:szCs w:val="24"/>
        </w:rPr>
        <w:t>万元，与年初预算相比，收、支总计各增加</w:t>
      </w:r>
      <w:r>
        <w:rPr>
          <w:rFonts w:hint="default" w:ascii="Times New Roman" w:hAnsi="Times New Roman" w:eastAsia="Times New Roman"/>
          <w:color w:val="auto"/>
          <w:kern w:val="2"/>
          <w:sz w:val="32"/>
          <w:szCs w:val="24"/>
          <w:u w:val="single"/>
        </w:rPr>
        <w:t>196.67</w:t>
      </w:r>
      <w:r>
        <w:rPr>
          <w:rFonts w:hint="eastAsia" w:ascii="仿宋_GB2312" w:hAnsi="仿宋_GB2312" w:eastAsia="仿宋_GB2312"/>
          <w:color w:val="auto"/>
          <w:kern w:val="2"/>
          <w:sz w:val="32"/>
          <w:szCs w:val="24"/>
        </w:rPr>
        <w:t>万元，增长</w:t>
      </w:r>
      <w:r>
        <w:rPr>
          <w:rFonts w:hint="default" w:ascii="Times New Roman" w:hAnsi="Times New Roman" w:eastAsia="Times New Roman"/>
          <w:color w:val="auto"/>
          <w:kern w:val="2"/>
          <w:sz w:val="32"/>
          <w:szCs w:val="24"/>
          <w:u w:val="single"/>
        </w:rPr>
        <w:t>7.02</w:t>
      </w:r>
      <w:r>
        <w:rPr>
          <w:rFonts w:hint="eastAsia" w:ascii="仿宋_GB2312" w:hAnsi="仿宋_GB2312" w:eastAsia="仿宋_GB2312"/>
          <w:color w:val="auto"/>
          <w:kern w:val="2"/>
          <w:sz w:val="32"/>
          <w:szCs w:val="24"/>
        </w:rPr>
        <w:t>%，变动原因：</w:t>
      </w:r>
      <w:r>
        <w:rPr>
          <w:rFonts w:hint="eastAsia" w:ascii="仿宋" w:hAnsi="仿宋" w:eastAsia="仿宋" w:cs="仿宋"/>
          <w:color w:val="auto"/>
          <w:sz w:val="32"/>
          <w:szCs w:val="32"/>
          <w:lang w:eastAsia="zh-CN"/>
        </w:rPr>
        <w:t>主要</w:t>
      </w:r>
      <w:r>
        <w:rPr>
          <w:rFonts w:hint="eastAsia" w:ascii="仿宋" w:hAnsi="仿宋" w:eastAsia="仿宋" w:cs="仿宋"/>
          <w:sz w:val="32"/>
          <w:szCs w:val="32"/>
        </w:rPr>
        <w:t>是因</w:t>
      </w:r>
      <w:r>
        <w:rPr>
          <w:rFonts w:hint="eastAsia" w:ascii="仿宋" w:hAnsi="仿宋" w:eastAsia="仿宋" w:cs="仿宋"/>
          <w:sz w:val="32"/>
          <w:szCs w:val="32"/>
          <w:lang w:eastAsia="zh-CN"/>
        </w:rPr>
        <w:t>为</w:t>
      </w:r>
      <w:r>
        <w:rPr>
          <w:rFonts w:hint="eastAsia" w:ascii="仿宋" w:hAnsi="仿宋" w:eastAsia="仿宋" w:cs="仿宋"/>
          <w:sz w:val="32"/>
          <w:szCs w:val="32"/>
        </w:rPr>
        <w:t>政策</w:t>
      </w:r>
      <w:r>
        <w:rPr>
          <w:rFonts w:hint="eastAsia" w:ascii="仿宋" w:hAnsi="仿宋" w:eastAsia="仿宋" w:cs="仿宋"/>
          <w:sz w:val="32"/>
          <w:szCs w:val="32"/>
          <w:lang w:val="en-US" w:eastAsia="zh-CN"/>
        </w:rPr>
        <w:t>性增资</w:t>
      </w:r>
      <w:r>
        <w:rPr>
          <w:rFonts w:hint="eastAsia" w:ascii="仿宋" w:hAnsi="仿宋" w:eastAsia="仿宋" w:cs="仿宋"/>
          <w:sz w:val="32"/>
          <w:szCs w:val="32"/>
          <w:lang w:eastAsia="zh-CN"/>
        </w:rPr>
        <w:t>致使人员</w:t>
      </w:r>
      <w:r>
        <w:rPr>
          <w:rFonts w:hint="eastAsia" w:ascii="仿宋" w:hAnsi="仿宋" w:eastAsia="仿宋" w:cs="仿宋"/>
          <w:sz w:val="32"/>
          <w:szCs w:val="32"/>
          <w:lang w:val="en-US" w:eastAsia="zh-CN"/>
        </w:rPr>
        <w:t>支出</w:t>
      </w:r>
      <w:r>
        <w:rPr>
          <w:rFonts w:hint="eastAsia" w:ascii="仿宋" w:hAnsi="仿宋" w:eastAsia="仿宋" w:cs="仿宋"/>
          <w:sz w:val="32"/>
          <w:szCs w:val="32"/>
        </w:rPr>
        <w:t>确需临时追加的项目经费</w:t>
      </w:r>
      <w:r>
        <w:rPr>
          <w:rFonts w:hint="eastAsia" w:ascii="仿宋" w:hAnsi="仿宋" w:eastAsia="仿宋" w:cs="仿宋"/>
          <w:sz w:val="32"/>
          <w:szCs w:val="32"/>
          <w:lang w:eastAsia="zh-CN"/>
        </w:rPr>
        <w:t>形成收入</w:t>
      </w:r>
      <w:r>
        <w:rPr>
          <w:rFonts w:hint="eastAsia" w:ascii="仿宋_GB2312" w:hAnsi="仿宋_GB2312" w:eastAsia="仿宋_GB2312"/>
          <w:color w:val="auto"/>
          <w:kern w:val="2"/>
          <w:sz w:val="32"/>
          <w:szCs w:val="24"/>
        </w:rPr>
        <w:t>；与上年决算相比，收、支总计各减少</w:t>
      </w:r>
      <w:r>
        <w:rPr>
          <w:rFonts w:hint="default" w:ascii="Times New Roman" w:hAnsi="Times New Roman" w:eastAsia="Times New Roman"/>
          <w:color w:val="auto"/>
          <w:kern w:val="2"/>
          <w:sz w:val="32"/>
          <w:szCs w:val="24"/>
          <w:u w:val="single"/>
        </w:rPr>
        <w:t>-3,557.43</w:t>
      </w:r>
      <w:r>
        <w:rPr>
          <w:rFonts w:hint="eastAsia" w:ascii="仿宋_GB2312" w:hAnsi="仿宋_GB2312" w:eastAsia="仿宋_GB2312"/>
          <w:color w:val="auto"/>
          <w:kern w:val="2"/>
          <w:sz w:val="32"/>
          <w:szCs w:val="24"/>
        </w:rPr>
        <w:t>万元，减少</w:t>
      </w:r>
      <w:r>
        <w:rPr>
          <w:rFonts w:hint="default" w:ascii="Times New Roman" w:hAnsi="Times New Roman" w:eastAsia="Times New Roman"/>
          <w:color w:val="auto"/>
          <w:kern w:val="2"/>
          <w:sz w:val="32"/>
          <w:szCs w:val="24"/>
          <w:u w:val="single"/>
        </w:rPr>
        <w:t>-54.27</w:t>
      </w:r>
      <w:r>
        <w:rPr>
          <w:rFonts w:hint="eastAsia" w:ascii="仿宋_GB2312" w:hAnsi="仿宋_GB2312" w:eastAsia="仿宋_GB2312"/>
          <w:color w:val="auto"/>
          <w:kern w:val="2"/>
          <w:sz w:val="32"/>
          <w:szCs w:val="24"/>
        </w:rPr>
        <w:t>%，变动原因：</w:t>
      </w:r>
      <w:r>
        <w:rPr>
          <w:rFonts w:hint="eastAsia" w:ascii="仿宋_GB2312" w:hAnsi="仿宋_GB2312" w:eastAsia="仿宋_GB2312"/>
          <w:color w:val="auto"/>
          <w:kern w:val="2"/>
          <w:sz w:val="32"/>
          <w:szCs w:val="24"/>
          <w:lang w:val="en-US" w:eastAsia="zh-CN"/>
        </w:rPr>
        <w:t>主要原因是</w:t>
      </w:r>
      <w:r>
        <w:rPr>
          <w:rFonts w:hint="eastAsia" w:ascii="仿宋" w:hAnsi="仿宋" w:eastAsia="仿宋" w:cs="仿宋"/>
          <w:color w:val="auto"/>
          <w:sz w:val="32"/>
          <w:szCs w:val="32"/>
          <w:lang w:eastAsia="zh-CN"/>
        </w:rPr>
        <w:t>市财政局所属二级单位市国有资产</w:t>
      </w:r>
      <w:r>
        <w:rPr>
          <w:rFonts w:hint="eastAsia" w:ascii="仿宋" w:hAnsi="仿宋" w:eastAsia="仿宋" w:cs="仿宋"/>
          <w:color w:val="auto"/>
          <w:sz w:val="32"/>
          <w:szCs w:val="32"/>
          <w:lang w:val="en-US" w:eastAsia="zh-CN"/>
        </w:rPr>
        <w:t>服务中心2021年向小微企业注入资本3656万元，本年无此项支出。</w:t>
      </w:r>
    </w:p>
    <w:p>
      <w:pPr>
        <w:spacing w:beforeLines="0" w:afterLines="0" w:line="600" w:lineRule="exact"/>
        <w:ind w:firstLine="643"/>
        <w:jc w:val="both"/>
        <w:rPr>
          <w:rFonts w:hint="default" w:ascii="Times New Roman" w:hAnsi="Times New Roman" w:eastAsia="Times New Roman"/>
          <w:b/>
          <w:color w:val="auto"/>
          <w:kern w:val="2"/>
          <w:sz w:val="32"/>
          <w:szCs w:val="24"/>
        </w:rPr>
      </w:pPr>
      <w:r>
        <w:rPr>
          <w:rFonts w:hint="eastAsia" w:ascii="黑体" w:hAnsi="黑体" w:eastAsia="黑体"/>
          <w:b/>
          <w:color w:val="auto"/>
          <w:kern w:val="2"/>
          <w:sz w:val="32"/>
          <w:szCs w:val="24"/>
        </w:rPr>
        <w:t>五、一般公共预算支出决算情况说明</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内蒙古自治区巴彦淖尔市财政局部门2022年度一般公共预算财政拨款支出决算</w:t>
      </w:r>
      <w:r>
        <w:rPr>
          <w:rFonts w:hint="default" w:ascii="Times New Roman" w:hAnsi="Times New Roman" w:eastAsia="Times New Roman"/>
          <w:color w:val="auto"/>
          <w:kern w:val="2"/>
          <w:sz w:val="32"/>
          <w:szCs w:val="24"/>
          <w:u w:val="single"/>
        </w:rPr>
        <w:t>2,877.52</w:t>
      </w:r>
      <w:r>
        <w:rPr>
          <w:rFonts w:hint="eastAsia" w:ascii="仿宋_GB2312" w:hAnsi="仿宋_GB2312" w:eastAsia="仿宋_GB2312"/>
          <w:color w:val="auto"/>
          <w:kern w:val="2"/>
          <w:sz w:val="32"/>
          <w:szCs w:val="24"/>
        </w:rPr>
        <w:t>万元。与年初预算</w:t>
      </w:r>
      <w:r>
        <w:rPr>
          <w:rFonts w:hint="default" w:ascii="Times New Roman" w:hAnsi="Times New Roman" w:eastAsia="Times New Roman"/>
          <w:color w:val="auto"/>
          <w:kern w:val="2"/>
          <w:sz w:val="32"/>
          <w:szCs w:val="24"/>
          <w:u w:val="single"/>
        </w:rPr>
        <w:t>2,800.65</w:t>
      </w:r>
      <w:r>
        <w:rPr>
          <w:rFonts w:hint="eastAsia" w:ascii="仿宋_GB2312" w:hAnsi="仿宋_GB2312" w:eastAsia="仿宋_GB2312"/>
          <w:color w:val="auto"/>
          <w:kern w:val="2"/>
          <w:sz w:val="32"/>
          <w:szCs w:val="24"/>
        </w:rPr>
        <w:t>万元相比，完成年初预算的</w:t>
      </w:r>
      <w:r>
        <w:rPr>
          <w:rFonts w:hint="default" w:ascii="Times New Roman" w:hAnsi="Times New Roman" w:eastAsia="Times New Roman"/>
          <w:color w:val="auto"/>
          <w:kern w:val="2"/>
          <w:sz w:val="32"/>
          <w:szCs w:val="24"/>
          <w:u w:val="single"/>
        </w:rPr>
        <w:t>102.74</w:t>
      </w:r>
      <w:r>
        <w:rPr>
          <w:rFonts w:hint="eastAsia" w:ascii="仿宋_GB2312" w:hAnsi="仿宋_GB2312" w:eastAsia="仿宋_GB2312"/>
          <w:color w:val="auto"/>
          <w:kern w:val="2"/>
          <w:sz w:val="32"/>
          <w:szCs w:val="24"/>
        </w:rPr>
        <w:t>%。其中：</w:t>
      </w:r>
    </w:p>
    <w:p>
      <w:pPr>
        <w:tabs>
          <w:tab w:val="left" w:pos="4275"/>
        </w:tabs>
        <w:spacing w:beforeLines="0" w:afterLines="0" w:line="560" w:lineRule="exact"/>
        <w:ind w:firstLine="643"/>
        <w:jc w:val="both"/>
        <w:rPr>
          <w:rFonts w:hint="default" w:ascii="Times New Roman" w:hAnsi="Times New Roman" w:eastAsia="Times New Roman"/>
          <w:b/>
          <w:color w:val="auto"/>
          <w:kern w:val="2"/>
          <w:sz w:val="32"/>
          <w:szCs w:val="24"/>
        </w:rPr>
      </w:pPr>
      <w:r>
        <w:rPr>
          <w:rFonts w:hint="eastAsia" w:ascii="楷体" w:hAnsi="楷体" w:eastAsia="楷体"/>
          <w:b/>
          <w:color w:val="auto"/>
          <w:kern w:val="2"/>
          <w:sz w:val="32"/>
          <w:szCs w:val="24"/>
        </w:rPr>
        <w:t>（一）一般公共服务（类）</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一般公共服务类决算数为</w:t>
      </w:r>
      <w:r>
        <w:rPr>
          <w:rFonts w:hint="default" w:ascii="Times New Roman" w:hAnsi="Times New Roman" w:eastAsia="Times New Roman"/>
          <w:color w:val="auto"/>
          <w:kern w:val="2"/>
          <w:sz w:val="32"/>
          <w:szCs w:val="24"/>
          <w:u w:val="single"/>
        </w:rPr>
        <w:t>2,274.54</w:t>
      </w:r>
      <w:r>
        <w:rPr>
          <w:rFonts w:hint="eastAsia" w:ascii="仿宋_GB2312" w:hAnsi="仿宋_GB2312" w:eastAsia="仿宋_GB2312"/>
          <w:color w:val="auto"/>
          <w:kern w:val="2"/>
          <w:sz w:val="32"/>
          <w:szCs w:val="24"/>
        </w:rPr>
        <w:t>万元，与年初预算相比增减少</w:t>
      </w:r>
      <w:r>
        <w:rPr>
          <w:rFonts w:hint="default" w:ascii="Times New Roman" w:hAnsi="Times New Roman" w:eastAsia="Times New Roman"/>
          <w:color w:val="auto"/>
          <w:kern w:val="2"/>
          <w:sz w:val="32"/>
          <w:szCs w:val="24"/>
          <w:u w:val="single"/>
        </w:rPr>
        <w:t>-233.66</w:t>
      </w:r>
      <w:r>
        <w:rPr>
          <w:rFonts w:hint="eastAsia" w:ascii="仿宋_GB2312" w:hAnsi="仿宋_GB2312" w:eastAsia="仿宋_GB2312"/>
          <w:color w:val="auto"/>
          <w:kern w:val="2"/>
          <w:sz w:val="32"/>
          <w:szCs w:val="24"/>
        </w:rPr>
        <w:t>万元。其中：</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default" w:ascii="Times New Roman" w:hAnsi="Times New Roman" w:eastAsia="Times New Roman"/>
          <w:color w:val="auto"/>
          <w:kern w:val="2"/>
          <w:sz w:val="32"/>
          <w:szCs w:val="24"/>
        </w:rPr>
        <w:t>1</w:t>
      </w:r>
      <w:r>
        <w:rPr>
          <w:rFonts w:hint="eastAsia" w:ascii="仿宋_GB2312" w:hAnsi="仿宋_GB2312" w:eastAsia="仿宋_GB2312"/>
          <w:color w:val="auto"/>
          <w:kern w:val="2"/>
          <w:sz w:val="32"/>
          <w:szCs w:val="24"/>
        </w:rPr>
        <w:t>．</w:t>
      </w:r>
      <w:r>
        <w:rPr>
          <w:rFonts w:hint="eastAsia" w:ascii="仿宋_GB2312" w:hAnsi="仿宋_GB2312" w:eastAsia="仿宋_GB2312"/>
          <w:color w:val="auto"/>
          <w:kern w:val="2"/>
          <w:sz w:val="32"/>
          <w:szCs w:val="24"/>
          <w:lang w:val="en-US" w:eastAsia="zh-CN"/>
        </w:rPr>
        <w:t>财政</w:t>
      </w:r>
      <w:r>
        <w:rPr>
          <w:rFonts w:hint="eastAsia" w:ascii="仿宋_GB2312" w:hAnsi="仿宋_GB2312" w:eastAsia="仿宋_GB2312"/>
          <w:color w:val="auto"/>
          <w:kern w:val="2"/>
          <w:sz w:val="32"/>
          <w:szCs w:val="24"/>
        </w:rPr>
        <w:t>事务（款）行政运行（项）。年初预算</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992.99</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万元，支出决算</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1165.26</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万元，完成年初预算的</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117.34</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%。决算数与年初预算数的差异原因：</w:t>
      </w:r>
      <w:r>
        <w:rPr>
          <w:rFonts w:hint="eastAsia" w:ascii="仿宋" w:hAnsi="仿宋" w:eastAsia="仿宋" w:cs="仿宋"/>
          <w:color w:val="auto"/>
          <w:sz w:val="32"/>
          <w:szCs w:val="32"/>
          <w:lang w:eastAsia="zh-CN"/>
        </w:rPr>
        <w:t>主要</w:t>
      </w:r>
      <w:r>
        <w:rPr>
          <w:rFonts w:hint="eastAsia" w:ascii="仿宋" w:hAnsi="仿宋" w:eastAsia="仿宋" w:cs="仿宋"/>
          <w:sz w:val="32"/>
          <w:szCs w:val="32"/>
        </w:rPr>
        <w:t>是因</w:t>
      </w:r>
      <w:r>
        <w:rPr>
          <w:rFonts w:hint="eastAsia" w:ascii="仿宋" w:hAnsi="仿宋" w:eastAsia="仿宋" w:cs="仿宋"/>
          <w:sz w:val="32"/>
          <w:szCs w:val="32"/>
          <w:lang w:eastAsia="zh-CN"/>
        </w:rPr>
        <w:t>为</w:t>
      </w:r>
      <w:r>
        <w:rPr>
          <w:rFonts w:hint="eastAsia" w:ascii="仿宋" w:hAnsi="仿宋" w:eastAsia="仿宋" w:cs="仿宋"/>
          <w:sz w:val="32"/>
          <w:szCs w:val="32"/>
        </w:rPr>
        <w:t>政策</w:t>
      </w:r>
      <w:r>
        <w:rPr>
          <w:rFonts w:hint="eastAsia" w:ascii="仿宋" w:hAnsi="仿宋" w:eastAsia="仿宋" w:cs="仿宋"/>
          <w:sz w:val="32"/>
          <w:szCs w:val="32"/>
          <w:lang w:val="en-US" w:eastAsia="zh-CN"/>
        </w:rPr>
        <w:t>性增资</w:t>
      </w:r>
      <w:r>
        <w:rPr>
          <w:rFonts w:hint="eastAsia" w:ascii="仿宋" w:hAnsi="仿宋" w:eastAsia="仿宋" w:cs="仿宋"/>
          <w:sz w:val="32"/>
          <w:szCs w:val="32"/>
          <w:lang w:eastAsia="zh-CN"/>
        </w:rPr>
        <w:t>致使人员</w:t>
      </w:r>
      <w:r>
        <w:rPr>
          <w:rFonts w:hint="eastAsia" w:ascii="仿宋" w:hAnsi="仿宋" w:eastAsia="仿宋" w:cs="仿宋"/>
          <w:sz w:val="32"/>
          <w:szCs w:val="32"/>
          <w:lang w:val="en-US" w:eastAsia="zh-CN"/>
        </w:rPr>
        <w:t>支出</w:t>
      </w:r>
      <w:r>
        <w:rPr>
          <w:rFonts w:hint="eastAsia" w:ascii="仿宋" w:hAnsi="仿宋" w:eastAsia="仿宋" w:cs="仿宋"/>
          <w:sz w:val="32"/>
          <w:szCs w:val="32"/>
        </w:rPr>
        <w:t>确需临时追加的项目经费</w:t>
      </w:r>
      <w:r>
        <w:rPr>
          <w:rFonts w:hint="eastAsia" w:ascii="仿宋" w:hAnsi="仿宋" w:eastAsia="仿宋" w:cs="仿宋"/>
          <w:sz w:val="32"/>
          <w:szCs w:val="32"/>
          <w:lang w:eastAsia="zh-CN"/>
        </w:rPr>
        <w:t>形成收入</w:t>
      </w:r>
      <w:r>
        <w:rPr>
          <w:rFonts w:hint="eastAsia" w:ascii="仿宋_GB2312" w:hAnsi="仿宋_GB2312" w:eastAsia="仿宋_GB2312"/>
          <w:color w:val="auto"/>
          <w:kern w:val="2"/>
          <w:sz w:val="32"/>
          <w:szCs w:val="24"/>
        </w:rPr>
        <w:t>。</w:t>
      </w:r>
    </w:p>
    <w:p>
      <w:pPr>
        <w:spacing w:beforeLines="0" w:afterLines="0" w:line="560" w:lineRule="exact"/>
        <w:ind w:firstLine="640"/>
        <w:jc w:val="both"/>
        <w:rPr>
          <w:rFonts w:hint="eastAsia" w:ascii="仿宋_GB2312" w:hAnsi="仿宋_GB2312" w:eastAsia="仿宋_GB2312"/>
          <w:color w:val="auto"/>
          <w:kern w:val="2"/>
          <w:sz w:val="32"/>
          <w:szCs w:val="24"/>
        </w:rPr>
      </w:pPr>
      <w:r>
        <w:rPr>
          <w:rFonts w:hint="default" w:ascii="Times New Roman" w:hAnsi="Times New Roman" w:eastAsia="Times New Roman"/>
          <w:color w:val="auto"/>
          <w:kern w:val="2"/>
          <w:sz w:val="32"/>
          <w:szCs w:val="24"/>
        </w:rPr>
        <w:t>2</w:t>
      </w:r>
      <w:r>
        <w:rPr>
          <w:rFonts w:hint="eastAsia" w:ascii="仿宋_GB2312" w:hAnsi="仿宋_GB2312" w:eastAsia="仿宋_GB2312"/>
          <w:color w:val="auto"/>
          <w:kern w:val="2"/>
          <w:sz w:val="32"/>
          <w:szCs w:val="24"/>
        </w:rPr>
        <w:t>．</w:t>
      </w:r>
      <w:r>
        <w:rPr>
          <w:rFonts w:hint="eastAsia" w:ascii="仿宋_GB2312" w:hAnsi="仿宋_GB2312" w:eastAsia="仿宋_GB2312"/>
          <w:color w:val="auto"/>
          <w:kern w:val="2"/>
          <w:sz w:val="32"/>
          <w:szCs w:val="24"/>
          <w:lang w:val="en-US" w:eastAsia="zh-CN"/>
        </w:rPr>
        <w:t>财政</w:t>
      </w:r>
      <w:r>
        <w:rPr>
          <w:rFonts w:hint="eastAsia" w:ascii="仿宋_GB2312" w:hAnsi="仿宋_GB2312" w:eastAsia="仿宋_GB2312"/>
          <w:color w:val="auto"/>
          <w:kern w:val="2"/>
          <w:sz w:val="32"/>
          <w:szCs w:val="24"/>
        </w:rPr>
        <w:t>事务（款）</w:t>
      </w:r>
      <w:r>
        <w:rPr>
          <w:rFonts w:hint="eastAsia" w:ascii="仿宋_GB2312" w:hAnsi="仿宋_GB2312" w:eastAsia="仿宋_GB2312"/>
          <w:color w:val="auto"/>
          <w:kern w:val="2"/>
          <w:sz w:val="32"/>
          <w:szCs w:val="24"/>
          <w:lang w:val="en-US" w:eastAsia="zh-CN"/>
        </w:rPr>
        <w:t>一般行政管理事务支出</w:t>
      </w:r>
      <w:r>
        <w:rPr>
          <w:rFonts w:hint="eastAsia" w:ascii="仿宋_GB2312" w:hAnsi="仿宋_GB2312" w:eastAsia="仿宋_GB2312"/>
          <w:color w:val="auto"/>
          <w:kern w:val="2"/>
          <w:sz w:val="32"/>
          <w:szCs w:val="24"/>
        </w:rPr>
        <w:t>（项）。年初预算</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502.95</w:t>
      </w:r>
      <w:r>
        <w:rPr>
          <w:rFonts w:hint="eastAsia" w:ascii="仿宋_GB2312" w:hAnsi="仿宋_GB2312" w:eastAsia="仿宋_GB2312"/>
          <w:color w:val="auto"/>
          <w:kern w:val="2"/>
          <w:sz w:val="32"/>
          <w:szCs w:val="24"/>
        </w:rPr>
        <w:t>万元，支出决算</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441.73</w:t>
      </w:r>
      <w:r>
        <w:rPr>
          <w:rFonts w:hint="eastAsia" w:ascii="仿宋_GB2312" w:hAnsi="仿宋_GB2312" w:eastAsia="仿宋_GB2312"/>
          <w:color w:val="auto"/>
          <w:kern w:val="2"/>
          <w:sz w:val="32"/>
          <w:szCs w:val="24"/>
        </w:rPr>
        <w:t>万元，完成年初预算的</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87.83</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%。决算数与年初预算数的差异原因：</w:t>
      </w:r>
      <w:r>
        <w:rPr>
          <w:rFonts w:hint="eastAsia" w:ascii="仿宋" w:hAnsi="仿宋" w:eastAsia="仿宋" w:cs="仿宋"/>
          <w:color w:val="auto"/>
          <w:sz w:val="32"/>
          <w:szCs w:val="32"/>
          <w:lang w:eastAsia="zh-CN"/>
        </w:rPr>
        <w:t>主要</w:t>
      </w:r>
      <w:r>
        <w:rPr>
          <w:rFonts w:hint="eastAsia" w:ascii="仿宋" w:hAnsi="仿宋" w:eastAsia="仿宋" w:cs="仿宋"/>
          <w:sz w:val="32"/>
          <w:szCs w:val="32"/>
        </w:rPr>
        <w:t>是因</w:t>
      </w:r>
      <w:r>
        <w:rPr>
          <w:rFonts w:hint="eastAsia" w:ascii="仿宋" w:hAnsi="仿宋" w:eastAsia="仿宋" w:cs="仿宋"/>
          <w:sz w:val="32"/>
          <w:szCs w:val="32"/>
          <w:lang w:eastAsia="zh-CN"/>
        </w:rPr>
        <w:t>为</w:t>
      </w:r>
      <w:r>
        <w:rPr>
          <w:rFonts w:hint="eastAsia" w:ascii="仿宋" w:hAnsi="仿宋" w:eastAsia="仿宋" w:cs="仿宋"/>
          <w:sz w:val="32"/>
          <w:szCs w:val="32"/>
          <w:lang w:val="en-US" w:eastAsia="zh-CN"/>
        </w:rPr>
        <w:t>市财政局及市国有资产服务中心当年安排的本级项目年末因支付手续不完备，当年尚未形成支出，年末缴回财政预算</w:t>
      </w:r>
      <w:r>
        <w:rPr>
          <w:rFonts w:hint="eastAsia" w:ascii="仿宋_GB2312" w:hAnsi="仿宋_GB2312" w:eastAsia="仿宋_GB2312"/>
          <w:color w:val="auto"/>
          <w:kern w:val="2"/>
          <w:sz w:val="32"/>
          <w:szCs w:val="24"/>
        </w:rPr>
        <w:t>。</w:t>
      </w:r>
    </w:p>
    <w:p>
      <w:pPr>
        <w:spacing w:beforeLines="0" w:afterLines="0" w:line="560" w:lineRule="exact"/>
        <w:ind w:firstLine="640"/>
        <w:jc w:val="both"/>
        <w:rPr>
          <w:rFonts w:hint="eastAsia" w:ascii="仿宋" w:hAnsi="仿宋" w:eastAsia="仿宋" w:cs="仿宋"/>
          <w:sz w:val="32"/>
          <w:szCs w:val="32"/>
          <w:lang w:val="en-US" w:eastAsia="zh-CN"/>
        </w:rPr>
      </w:pPr>
      <w:r>
        <w:rPr>
          <w:rFonts w:hint="eastAsia" w:ascii="Times New Roman" w:hAnsi="Times New Roman" w:eastAsia="宋体"/>
          <w:color w:val="auto"/>
          <w:kern w:val="2"/>
          <w:sz w:val="32"/>
          <w:szCs w:val="24"/>
          <w:lang w:val="en-US" w:eastAsia="zh-CN"/>
        </w:rPr>
        <w:t>3</w:t>
      </w:r>
      <w:r>
        <w:rPr>
          <w:rFonts w:hint="eastAsia" w:ascii="仿宋_GB2312" w:hAnsi="仿宋_GB2312" w:eastAsia="仿宋_GB2312"/>
          <w:color w:val="auto"/>
          <w:kern w:val="2"/>
          <w:sz w:val="32"/>
          <w:szCs w:val="24"/>
        </w:rPr>
        <w:t>．</w:t>
      </w:r>
      <w:r>
        <w:rPr>
          <w:rFonts w:hint="eastAsia" w:ascii="仿宋_GB2312" w:hAnsi="仿宋_GB2312" w:eastAsia="仿宋_GB2312"/>
          <w:color w:val="auto"/>
          <w:kern w:val="2"/>
          <w:sz w:val="32"/>
          <w:szCs w:val="24"/>
          <w:lang w:val="en-US" w:eastAsia="zh-CN"/>
        </w:rPr>
        <w:t>财政</w:t>
      </w:r>
      <w:r>
        <w:rPr>
          <w:rFonts w:hint="eastAsia" w:ascii="仿宋_GB2312" w:hAnsi="仿宋_GB2312" w:eastAsia="仿宋_GB2312"/>
          <w:color w:val="auto"/>
          <w:kern w:val="2"/>
          <w:sz w:val="32"/>
          <w:szCs w:val="24"/>
        </w:rPr>
        <w:t>事务（款）</w:t>
      </w:r>
      <w:r>
        <w:rPr>
          <w:rFonts w:hint="eastAsia" w:ascii="仿宋_GB2312" w:hAnsi="仿宋_GB2312" w:eastAsia="仿宋_GB2312"/>
          <w:color w:val="auto"/>
          <w:kern w:val="2"/>
          <w:sz w:val="32"/>
          <w:szCs w:val="24"/>
          <w:lang w:val="en-US" w:eastAsia="zh-CN"/>
        </w:rPr>
        <w:t>财政国库业务</w:t>
      </w:r>
      <w:r>
        <w:rPr>
          <w:rFonts w:hint="eastAsia" w:ascii="仿宋_GB2312" w:hAnsi="仿宋_GB2312" w:eastAsia="仿宋_GB2312"/>
          <w:color w:val="auto"/>
          <w:kern w:val="2"/>
          <w:sz w:val="32"/>
          <w:szCs w:val="24"/>
        </w:rPr>
        <w:t>（项）。年初预算</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29</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万元，支出决算</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3.54</w:t>
      </w:r>
      <w:r>
        <w:rPr>
          <w:rFonts w:hint="eastAsia" w:ascii="仿宋_GB2312" w:hAnsi="仿宋_GB2312" w:eastAsia="仿宋_GB2312"/>
          <w:color w:val="auto"/>
          <w:kern w:val="2"/>
          <w:sz w:val="32"/>
          <w:szCs w:val="24"/>
        </w:rPr>
        <w:t>万元，完成年初预算的</w:t>
      </w:r>
      <w:bookmarkStart w:id="0" w:name="_GoBack"/>
      <w:bookmarkEnd w:id="0"/>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12.21</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%。决算数与年初预算数的差异原因：</w:t>
      </w:r>
      <w:r>
        <w:rPr>
          <w:rFonts w:hint="eastAsia" w:ascii="仿宋" w:hAnsi="仿宋" w:eastAsia="仿宋" w:cs="仿宋"/>
          <w:color w:val="auto"/>
          <w:sz w:val="32"/>
          <w:szCs w:val="32"/>
          <w:lang w:eastAsia="zh-CN"/>
        </w:rPr>
        <w:t>主要</w:t>
      </w:r>
      <w:r>
        <w:rPr>
          <w:rFonts w:hint="eastAsia" w:ascii="仿宋" w:hAnsi="仿宋" w:eastAsia="仿宋" w:cs="仿宋"/>
          <w:sz w:val="32"/>
          <w:szCs w:val="32"/>
        </w:rPr>
        <w:t>是因</w:t>
      </w:r>
      <w:r>
        <w:rPr>
          <w:rFonts w:hint="eastAsia" w:ascii="仿宋" w:hAnsi="仿宋" w:eastAsia="仿宋" w:cs="仿宋"/>
          <w:sz w:val="32"/>
          <w:szCs w:val="32"/>
          <w:lang w:eastAsia="zh-CN"/>
        </w:rPr>
        <w:t>为</w:t>
      </w:r>
      <w:r>
        <w:rPr>
          <w:rFonts w:hint="eastAsia" w:ascii="仿宋" w:hAnsi="仿宋" w:eastAsia="仿宋" w:cs="仿宋"/>
          <w:sz w:val="32"/>
          <w:szCs w:val="32"/>
          <w:lang w:val="en-US" w:eastAsia="zh-CN"/>
        </w:rPr>
        <w:t>市财政局国库集中收付中心当年安排的本级项目年末因支付手续不完备，当年尚未形成支出，年末缴回财政预算。</w:t>
      </w:r>
    </w:p>
    <w:p>
      <w:pPr>
        <w:spacing w:beforeLines="0" w:afterLines="0" w:line="560" w:lineRule="exact"/>
        <w:ind w:firstLine="640"/>
        <w:jc w:val="both"/>
        <w:rPr>
          <w:rFonts w:hint="eastAsia" w:ascii="仿宋" w:hAnsi="仿宋" w:eastAsia="仿宋" w:cs="仿宋"/>
          <w:sz w:val="32"/>
          <w:szCs w:val="32"/>
          <w:lang w:val="en-US" w:eastAsia="zh-CN"/>
        </w:rPr>
      </w:pPr>
      <w:r>
        <w:rPr>
          <w:rFonts w:hint="eastAsia" w:ascii="Times New Roman" w:hAnsi="Times New Roman" w:eastAsia="宋体"/>
          <w:color w:val="auto"/>
          <w:kern w:val="2"/>
          <w:sz w:val="32"/>
          <w:szCs w:val="24"/>
          <w:lang w:val="en-US" w:eastAsia="zh-CN"/>
        </w:rPr>
        <w:t>4</w:t>
      </w:r>
      <w:r>
        <w:rPr>
          <w:rFonts w:hint="eastAsia" w:ascii="仿宋_GB2312" w:hAnsi="仿宋_GB2312" w:eastAsia="仿宋_GB2312"/>
          <w:color w:val="auto"/>
          <w:kern w:val="2"/>
          <w:sz w:val="32"/>
          <w:szCs w:val="24"/>
        </w:rPr>
        <w:t>．</w:t>
      </w:r>
      <w:r>
        <w:rPr>
          <w:rFonts w:hint="eastAsia" w:ascii="仿宋_GB2312" w:hAnsi="仿宋_GB2312" w:eastAsia="仿宋_GB2312"/>
          <w:color w:val="auto"/>
          <w:kern w:val="2"/>
          <w:sz w:val="32"/>
          <w:szCs w:val="24"/>
          <w:lang w:val="en-US" w:eastAsia="zh-CN"/>
        </w:rPr>
        <w:t>财政</w:t>
      </w:r>
      <w:r>
        <w:rPr>
          <w:rFonts w:hint="eastAsia" w:ascii="仿宋_GB2312" w:hAnsi="仿宋_GB2312" w:eastAsia="仿宋_GB2312"/>
          <w:color w:val="auto"/>
          <w:kern w:val="2"/>
          <w:sz w:val="32"/>
          <w:szCs w:val="24"/>
        </w:rPr>
        <w:t>事务（款）</w:t>
      </w:r>
      <w:r>
        <w:rPr>
          <w:rFonts w:hint="eastAsia" w:ascii="仿宋_GB2312" w:hAnsi="仿宋_GB2312" w:eastAsia="仿宋_GB2312"/>
          <w:color w:val="auto"/>
          <w:kern w:val="2"/>
          <w:sz w:val="32"/>
          <w:szCs w:val="24"/>
          <w:lang w:val="en-US" w:eastAsia="zh-CN"/>
        </w:rPr>
        <w:t>财政监察</w:t>
      </w:r>
      <w:r>
        <w:rPr>
          <w:rFonts w:hint="eastAsia" w:ascii="仿宋_GB2312" w:hAnsi="仿宋_GB2312" w:eastAsia="仿宋_GB2312"/>
          <w:color w:val="auto"/>
          <w:kern w:val="2"/>
          <w:sz w:val="32"/>
          <w:szCs w:val="24"/>
        </w:rPr>
        <w:t>（项）。年初预算</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9.5</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万元，支出决算</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10</w:t>
      </w:r>
      <w:r>
        <w:rPr>
          <w:rFonts w:hint="eastAsia" w:ascii="仿宋_GB2312" w:hAnsi="仿宋_GB2312" w:eastAsia="仿宋_GB2312"/>
          <w:color w:val="auto"/>
          <w:kern w:val="2"/>
          <w:sz w:val="32"/>
          <w:szCs w:val="24"/>
        </w:rPr>
        <w:t>万元，完成年初预算的</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105.26</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%。决算数与年初预算数的差异原因：</w:t>
      </w:r>
      <w:r>
        <w:rPr>
          <w:rFonts w:hint="eastAsia" w:ascii="仿宋" w:hAnsi="仿宋" w:eastAsia="仿宋" w:cs="仿宋"/>
          <w:color w:val="auto"/>
          <w:sz w:val="32"/>
          <w:szCs w:val="32"/>
          <w:lang w:eastAsia="zh-CN"/>
        </w:rPr>
        <w:t>主要</w:t>
      </w:r>
      <w:r>
        <w:rPr>
          <w:rFonts w:hint="eastAsia" w:ascii="仿宋" w:hAnsi="仿宋" w:eastAsia="仿宋" w:cs="仿宋"/>
          <w:sz w:val="32"/>
          <w:szCs w:val="32"/>
        </w:rPr>
        <w:t>是因</w:t>
      </w:r>
      <w:r>
        <w:rPr>
          <w:rFonts w:hint="eastAsia" w:ascii="仿宋" w:hAnsi="仿宋" w:eastAsia="仿宋" w:cs="仿宋"/>
          <w:sz w:val="32"/>
          <w:szCs w:val="32"/>
          <w:lang w:eastAsia="zh-CN"/>
        </w:rPr>
        <w:t>为</w:t>
      </w:r>
      <w:r>
        <w:rPr>
          <w:rFonts w:hint="eastAsia" w:ascii="仿宋" w:hAnsi="仿宋" w:eastAsia="仿宋" w:cs="仿宋"/>
          <w:sz w:val="32"/>
          <w:szCs w:val="32"/>
          <w:lang w:val="en-US" w:eastAsia="zh-CN"/>
        </w:rPr>
        <w:t>市财政局绩效评价中心当年安排的本级项目决算支出数比年初预算大0.5万元。</w:t>
      </w:r>
    </w:p>
    <w:p>
      <w:pPr>
        <w:spacing w:beforeLines="0" w:afterLines="0" w:line="560" w:lineRule="exact"/>
        <w:ind w:firstLine="640"/>
        <w:jc w:val="both"/>
        <w:rPr>
          <w:rFonts w:hint="eastAsia" w:ascii="仿宋_GB2312" w:hAnsi="仿宋_GB2312" w:eastAsia="仿宋_GB2312"/>
          <w:color w:val="auto"/>
          <w:kern w:val="2"/>
          <w:sz w:val="32"/>
          <w:szCs w:val="24"/>
        </w:rPr>
      </w:pPr>
      <w:r>
        <w:rPr>
          <w:rFonts w:hint="eastAsia" w:ascii="Times New Roman" w:hAnsi="Times New Roman" w:eastAsia="宋体"/>
          <w:color w:val="auto"/>
          <w:kern w:val="2"/>
          <w:sz w:val="32"/>
          <w:szCs w:val="24"/>
          <w:lang w:val="en-US" w:eastAsia="zh-CN"/>
        </w:rPr>
        <w:t>5</w:t>
      </w:r>
      <w:r>
        <w:rPr>
          <w:rFonts w:hint="eastAsia" w:ascii="仿宋_GB2312" w:hAnsi="仿宋_GB2312" w:eastAsia="仿宋_GB2312"/>
          <w:color w:val="auto"/>
          <w:kern w:val="2"/>
          <w:sz w:val="32"/>
          <w:szCs w:val="24"/>
        </w:rPr>
        <w:t>．</w:t>
      </w:r>
      <w:r>
        <w:rPr>
          <w:rFonts w:hint="eastAsia" w:ascii="仿宋_GB2312" w:hAnsi="仿宋_GB2312" w:eastAsia="仿宋_GB2312"/>
          <w:color w:val="auto"/>
          <w:kern w:val="2"/>
          <w:sz w:val="32"/>
          <w:szCs w:val="24"/>
          <w:lang w:val="en-US" w:eastAsia="zh-CN"/>
        </w:rPr>
        <w:t>财政</w:t>
      </w:r>
      <w:r>
        <w:rPr>
          <w:rFonts w:hint="eastAsia" w:ascii="仿宋_GB2312" w:hAnsi="仿宋_GB2312" w:eastAsia="仿宋_GB2312"/>
          <w:color w:val="auto"/>
          <w:kern w:val="2"/>
          <w:sz w:val="32"/>
          <w:szCs w:val="24"/>
        </w:rPr>
        <w:t>事务（款）</w:t>
      </w:r>
      <w:r>
        <w:rPr>
          <w:rFonts w:hint="eastAsia" w:ascii="仿宋_GB2312" w:hAnsi="仿宋_GB2312" w:eastAsia="仿宋_GB2312"/>
          <w:color w:val="auto"/>
          <w:kern w:val="2"/>
          <w:sz w:val="32"/>
          <w:szCs w:val="24"/>
          <w:lang w:val="en-US" w:eastAsia="zh-CN"/>
        </w:rPr>
        <w:t>信息化建设</w:t>
      </w:r>
      <w:r>
        <w:rPr>
          <w:rFonts w:hint="eastAsia" w:ascii="仿宋_GB2312" w:hAnsi="仿宋_GB2312" w:eastAsia="仿宋_GB2312"/>
          <w:color w:val="auto"/>
          <w:kern w:val="2"/>
          <w:sz w:val="32"/>
          <w:szCs w:val="24"/>
        </w:rPr>
        <w:t>（项）。年初预算</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219</w:t>
      </w:r>
      <w:r>
        <w:rPr>
          <w:rFonts w:hint="eastAsia" w:ascii="仿宋_GB2312" w:hAnsi="仿宋_GB2312" w:eastAsia="仿宋_GB2312"/>
          <w:color w:val="auto"/>
          <w:kern w:val="2"/>
          <w:sz w:val="32"/>
          <w:szCs w:val="24"/>
        </w:rPr>
        <w:t>万元，支出决算</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113.39</w:t>
      </w:r>
      <w:r>
        <w:rPr>
          <w:rFonts w:hint="eastAsia" w:ascii="仿宋_GB2312" w:hAnsi="仿宋_GB2312" w:eastAsia="仿宋_GB2312"/>
          <w:color w:val="auto"/>
          <w:kern w:val="2"/>
          <w:sz w:val="32"/>
          <w:szCs w:val="24"/>
        </w:rPr>
        <w:t>万元，完成年初预算的</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51.77</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%。决算数与年初预算数的差异原因：</w:t>
      </w:r>
      <w:r>
        <w:rPr>
          <w:rFonts w:hint="eastAsia" w:ascii="仿宋" w:hAnsi="仿宋" w:eastAsia="仿宋" w:cs="仿宋"/>
          <w:color w:val="auto"/>
          <w:sz w:val="32"/>
          <w:szCs w:val="32"/>
          <w:lang w:eastAsia="zh-CN"/>
        </w:rPr>
        <w:t>主要</w:t>
      </w:r>
      <w:r>
        <w:rPr>
          <w:rFonts w:hint="eastAsia" w:ascii="仿宋" w:hAnsi="仿宋" w:eastAsia="仿宋" w:cs="仿宋"/>
          <w:sz w:val="32"/>
          <w:szCs w:val="32"/>
        </w:rPr>
        <w:t>是因</w:t>
      </w:r>
      <w:r>
        <w:rPr>
          <w:rFonts w:hint="eastAsia" w:ascii="仿宋" w:hAnsi="仿宋" w:eastAsia="仿宋" w:cs="仿宋"/>
          <w:sz w:val="32"/>
          <w:szCs w:val="32"/>
          <w:lang w:eastAsia="zh-CN"/>
        </w:rPr>
        <w:t>为</w:t>
      </w:r>
      <w:r>
        <w:rPr>
          <w:rFonts w:hint="eastAsia" w:ascii="仿宋" w:hAnsi="仿宋" w:eastAsia="仿宋" w:cs="仿宋"/>
          <w:sz w:val="32"/>
          <w:szCs w:val="32"/>
          <w:lang w:val="en-US" w:eastAsia="zh-CN"/>
        </w:rPr>
        <w:t>市财政综合保障中心当年安排的本级项目年末因支付手续不完备，当年尚未形成支出，年末缴回财政预算</w:t>
      </w:r>
      <w:r>
        <w:rPr>
          <w:rFonts w:hint="eastAsia" w:ascii="仿宋_GB2312" w:hAnsi="仿宋_GB2312" w:eastAsia="仿宋_GB2312"/>
          <w:color w:val="auto"/>
          <w:kern w:val="2"/>
          <w:sz w:val="32"/>
          <w:szCs w:val="24"/>
        </w:rPr>
        <w:t>。</w:t>
      </w:r>
    </w:p>
    <w:p>
      <w:pPr>
        <w:spacing w:beforeLines="0" w:afterLines="0" w:line="560" w:lineRule="exact"/>
        <w:ind w:firstLine="640"/>
        <w:jc w:val="both"/>
        <w:rPr>
          <w:rFonts w:hint="eastAsia" w:ascii="仿宋_GB2312" w:hAnsi="仿宋_GB2312" w:eastAsia="仿宋_GB2312"/>
          <w:color w:val="auto"/>
          <w:kern w:val="2"/>
          <w:sz w:val="32"/>
          <w:szCs w:val="24"/>
        </w:rPr>
      </w:pPr>
      <w:r>
        <w:rPr>
          <w:rFonts w:hint="eastAsia" w:ascii="Times New Roman" w:hAnsi="Times New Roman" w:eastAsia="宋体"/>
          <w:color w:val="auto"/>
          <w:kern w:val="2"/>
          <w:sz w:val="32"/>
          <w:szCs w:val="24"/>
          <w:lang w:val="en-US" w:eastAsia="zh-CN"/>
        </w:rPr>
        <w:t>6</w:t>
      </w:r>
      <w:r>
        <w:rPr>
          <w:rFonts w:hint="eastAsia" w:ascii="仿宋_GB2312" w:hAnsi="仿宋_GB2312" w:eastAsia="仿宋_GB2312"/>
          <w:color w:val="auto"/>
          <w:kern w:val="2"/>
          <w:sz w:val="32"/>
          <w:szCs w:val="24"/>
        </w:rPr>
        <w:t>．</w:t>
      </w:r>
      <w:r>
        <w:rPr>
          <w:rFonts w:hint="eastAsia" w:ascii="仿宋_GB2312" w:hAnsi="仿宋_GB2312" w:eastAsia="仿宋_GB2312"/>
          <w:color w:val="auto"/>
          <w:kern w:val="2"/>
          <w:sz w:val="32"/>
          <w:szCs w:val="24"/>
          <w:lang w:val="en-US" w:eastAsia="zh-CN"/>
        </w:rPr>
        <w:t>财政</w:t>
      </w:r>
      <w:r>
        <w:rPr>
          <w:rFonts w:hint="eastAsia" w:ascii="仿宋_GB2312" w:hAnsi="仿宋_GB2312" w:eastAsia="仿宋_GB2312"/>
          <w:color w:val="auto"/>
          <w:kern w:val="2"/>
          <w:sz w:val="32"/>
          <w:szCs w:val="24"/>
        </w:rPr>
        <w:t>事务（款）</w:t>
      </w:r>
      <w:r>
        <w:rPr>
          <w:rFonts w:hint="eastAsia" w:ascii="仿宋_GB2312" w:hAnsi="仿宋_GB2312" w:eastAsia="仿宋_GB2312"/>
          <w:color w:val="auto"/>
          <w:kern w:val="2"/>
          <w:sz w:val="32"/>
          <w:szCs w:val="24"/>
          <w:lang w:val="en-US" w:eastAsia="zh-CN"/>
        </w:rPr>
        <w:t>事业运行</w:t>
      </w:r>
      <w:r>
        <w:rPr>
          <w:rFonts w:hint="eastAsia" w:ascii="仿宋_GB2312" w:hAnsi="仿宋_GB2312" w:eastAsia="仿宋_GB2312"/>
          <w:color w:val="auto"/>
          <w:kern w:val="2"/>
          <w:sz w:val="32"/>
          <w:szCs w:val="24"/>
        </w:rPr>
        <w:t>（项）。年初预算</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268.09</w:t>
      </w:r>
      <w:r>
        <w:rPr>
          <w:rFonts w:hint="eastAsia" w:ascii="仿宋_GB2312" w:hAnsi="仿宋_GB2312" w:eastAsia="仿宋_GB2312"/>
          <w:color w:val="auto"/>
          <w:kern w:val="2"/>
          <w:sz w:val="32"/>
          <w:szCs w:val="24"/>
        </w:rPr>
        <w:t>万元，支出决算</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330.16</w:t>
      </w:r>
      <w:r>
        <w:rPr>
          <w:rFonts w:hint="eastAsia" w:ascii="仿宋_GB2312" w:hAnsi="仿宋_GB2312" w:eastAsia="仿宋_GB2312"/>
          <w:color w:val="auto"/>
          <w:kern w:val="2"/>
          <w:sz w:val="32"/>
          <w:szCs w:val="24"/>
        </w:rPr>
        <w:t>万元，完成年初预算的</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123.15</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%。决算数与年初预算数的差异原因：</w:t>
      </w:r>
      <w:r>
        <w:rPr>
          <w:rFonts w:hint="eastAsia" w:ascii="仿宋" w:hAnsi="仿宋" w:eastAsia="仿宋" w:cs="仿宋"/>
          <w:color w:val="auto"/>
          <w:sz w:val="32"/>
          <w:szCs w:val="32"/>
          <w:lang w:eastAsia="zh-CN"/>
        </w:rPr>
        <w:t>主要</w:t>
      </w:r>
      <w:r>
        <w:rPr>
          <w:rFonts w:hint="eastAsia" w:ascii="仿宋" w:hAnsi="仿宋" w:eastAsia="仿宋" w:cs="仿宋"/>
          <w:sz w:val="32"/>
          <w:szCs w:val="32"/>
        </w:rPr>
        <w:t>是因</w:t>
      </w:r>
      <w:r>
        <w:rPr>
          <w:rFonts w:hint="eastAsia" w:ascii="仿宋" w:hAnsi="仿宋" w:eastAsia="仿宋" w:cs="仿宋"/>
          <w:sz w:val="32"/>
          <w:szCs w:val="32"/>
          <w:lang w:eastAsia="zh-CN"/>
        </w:rPr>
        <w:t>为</w:t>
      </w:r>
      <w:r>
        <w:rPr>
          <w:rFonts w:hint="eastAsia" w:ascii="仿宋" w:hAnsi="仿宋" w:eastAsia="仿宋" w:cs="仿宋"/>
          <w:sz w:val="32"/>
          <w:szCs w:val="32"/>
        </w:rPr>
        <w:t>政策</w:t>
      </w:r>
      <w:r>
        <w:rPr>
          <w:rFonts w:hint="eastAsia" w:ascii="仿宋" w:hAnsi="仿宋" w:eastAsia="仿宋" w:cs="仿宋"/>
          <w:sz w:val="32"/>
          <w:szCs w:val="32"/>
          <w:lang w:val="en-US" w:eastAsia="zh-CN"/>
        </w:rPr>
        <w:t>性增资</w:t>
      </w:r>
      <w:r>
        <w:rPr>
          <w:rFonts w:hint="eastAsia" w:ascii="仿宋" w:hAnsi="仿宋" w:eastAsia="仿宋" w:cs="仿宋"/>
          <w:sz w:val="32"/>
          <w:szCs w:val="32"/>
          <w:lang w:eastAsia="zh-CN"/>
        </w:rPr>
        <w:t>致使人员</w:t>
      </w:r>
      <w:r>
        <w:rPr>
          <w:rFonts w:hint="eastAsia" w:ascii="仿宋" w:hAnsi="仿宋" w:eastAsia="仿宋" w:cs="仿宋"/>
          <w:sz w:val="32"/>
          <w:szCs w:val="32"/>
          <w:lang w:val="en-US" w:eastAsia="zh-CN"/>
        </w:rPr>
        <w:t>支出</w:t>
      </w:r>
      <w:r>
        <w:rPr>
          <w:rFonts w:hint="eastAsia" w:ascii="仿宋" w:hAnsi="仿宋" w:eastAsia="仿宋" w:cs="仿宋"/>
          <w:sz w:val="32"/>
          <w:szCs w:val="32"/>
        </w:rPr>
        <w:t>确需临时追加的项目经费</w:t>
      </w:r>
      <w:r>
        <w:rPr>
          <w:rFonts w:hint="eastAsia" w:ascii="仿宋" w:hAnsi="仿宋" w:eastAsia="仿宋" w:cs="仿宋"/>
          <w:sz w:val="32"/>
          <w:szCs w:val="32"/>
          <w:lang w:eastAsia="zh-CN"/>
        </w:rPr>
        <w:t>形成收入</w:t>
      </w:r>
      <w:r>
        <w:rPr>
          <w:rFonts w:hint="eastAsia" w:ascii="仿宋_GB2312" w:hAnsi="仿宋_GB2312" w:eastAsia="仿宋_GB2312"/>
          <w:color w:val="auto"/>
          <w:kern w:val="2"/>
          <w:sz w:val="32"/>
          <w:szCs w:val="24"/>
        </w:rPr>
        <w:t>。</w:t>
      </w:r>
    </w:p>
    <w:p>
      <w:pPr>
        <w:spacing w:beforeLines="0" w:afterLines="0" w:line="560" w:lineRule="exact"/>
        <w:ind w:firstLine="640"/>
        <w:jc w:val="both"/>
        <w:rPr>
          <w:rFonts w:hint="default"/>
        </w:rPr>
      </w:pPr>
      <w:r>
        <w:rPr>
          <w:rFonts w:hint="eastAsia" w:ascii="Times New Roman" w:hAnsi="Times New Roman" w:eastAsia="宋体"/>
          <w:color w:val="auto"/>
          <w:kern w:val="2"/>
          <w:sz w:val="32"/>
          <w:szCs w:val="24"/>
          <w:lang w:val="en-US" w:eastAsia="zh-CN"/>
        </w:rPr>
        <w:t>7</w:t>
      </w:r>
      <w:r>
        <w:rPr>
          <w:rFonts w:hint="eastAsia" w:ascii="仿宋_GB2312" w:hAnsi="仿宋_GB2312" w:eastAsia="仿宋_GB2312"/>
          <w:color w:val="auto"/>
          <w:kern w:val="2"/>
          <w:sz w:val="32"/>
          <w:szCs w:val="24"/>
        </w:rPr>
        <w:t>．</w:t>
      </w:r>
      <w:r>
        <w:rPr>
          <w:rFonts w:hint="eastAsia" w:ascii="仿宋_GB2312" w:hAnsi="仿宋_GB2312" w:eastAsia="仿宋_GB2312"/>
          <w:color w:val="auto"/>
          <w:kern w:val="2"/>
          <w:sz w:val="32"/>
          <w:szCs w:val="24"/>
          <w:lang w:val="en-US" w:eastAsia="zh-CN"/>
        </w:rPr>
        <w:t>财政</w:t>
      </w:r>
      <w:r>
        <w:rPr>
          <w:rFonts w:hint="eastAsia" w:ascii="仿宋_GB2312" w:hAnsi="仿宋_GB2312" w:eastAsia="仿宋_GB2312"/>
          <w:color w:val="auto"/>
          <w:kern w:val="2"/>
          <w:sz w:val="32"/>
          <w:szCs w:val="24"/>
        </w:rPr>
        <w:t>事务（款）</w:t>
      </w:r>
      <w:r>
        <w:rPr>
          <w:rFonts w:hint="eastAsia" w:ascii="仿宋_GB2312" w:hAnsi="仿宋_GB2312" w:eastAsia="仿宋_GB2312"/>
          <w:color w:val="auto"/>
          <w:kern w:val="2"/>
          <w:sz w:val="32"/>
          <w:szCs w:val="24"/>
          <w:lang w:val="en-US" w:eastAsia="zh-CN"/>
        </w:rPr>
        <w:t>其他财政事务支出</w:t>
      </w:r>
      <w:r>
        <w:rPr>
          <w:rFonts w:hint="eastAsia" w:ascii="仿宋_GB2312" w:hAnsi="仿宋_GB2312" w:eastAsia="仿宋_GB2312"/>
          <w:color w:val="auto"/>
          <w:kern w:val="2"/>
          <w:sz w:val="32"/>
          <w:szCs w:val="24"/>
        </w:rPr>
        <w:t>（项）。年初预算</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210.45</w:t>
      </w:r>
      <w:r>
        <w:rPr>
          <w:rFonts w:hint="eastAsia" w:ascii="仿宋_GB2312" w:hAnsi="仿宋_GB2312" w:eastAsia="仿宋_GB2312"/>
          <w:color w:val="auto"/>
          <w:kern w:val="2"/>
          <w:sz w:val="32"/>
          <w:szCs w:val="24"/>
        </w:rPr>
        <w:t>万元，支出决算</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210.45</w:t>
      </w:r>
      <w:r>
        <w:rPr>
          <w:rFonts w:hint="eastAsia" w:ascii="仿宋_GB2312" w:hAnsi="仿宋_GB2312" w:eastAsia="仿宋_GB2312"/>
          <w:color w:val="auto"/>
          <w:kern w:val="2"/>
          <w:sz w:val="32"/>
          <w:szCs w:val="24"/>
        </w:rPr>
        <w:t>万元，完成年初预算的</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100</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%。决算数与年初预算数的差异原因</w:t>
      </w:r>
      <w:r>
        <w:rPr>
          <w:rFonts w:hint="eastAsia" w:ascii="仿宋_GB2312" w:hAnsi="仿宋_GB2312" w:eastAsia="仿宋_GB2312"/>
          <w:color w:val="auto"/>
          <w:kern w:val="2"/>
          <w:sz w:val="32"/>
          <w:szCs w:val="24"/>
          <w:lang w:eastAsia="zh-CN"/>
        </w:rPr>
        <w:t>，</w:t>
      </w:r>
      <w:r>
        <w:rPr>
          <w:rFonts w:hint="eastAsia" w:ascii="仿宋_GB2312" w:hAnsi="仿宋_GB2312" w:eastAsia="仿宋_GB2312"/>
          <w:color w:val="auto"/>
          <w:kern w:val="2"/>
          <w:sz w:val="32"/>
          <w:szCs w:val="24"/>
          <w:lang w:val="en-US" w:eastAsia="zh-CN"/>
        </w:rPr>
        <w:t>无</w:t>
      </w:r>
      <w:r>
        <w:rPr>
          <w:rFonts w:hint="eastAsia" w:ascii="仿宋_GB2312" w:hAnsi="仿宋_GB2312" w:eastAsia="仿宋_GB2312"/>
          <w:color w:val="auto"/>
          <w:kern w:val="2"/>
          <w:sz w:val="32"/>
          <w:szCs w:val="24"/>
        </w:rPr>
        <w:t>。</w:t>
      </w:r>
    </w:p>
    <w:p>
      <w:pPr>
        <w:tabs>
          <w:tab w:val="left" w:pos="4275"/>
        </w:tabs>
        <w:spacing w:beforeLines="0" w:afterLines="0" w:line="560" w:lineRule="exact"/>
        <w:ind w:firstLine="643"/>
        <w:jc w:val="both"/>
        <w:rPr>
          <w:rFonts w:hint="default" w:ascii="Times New Roman" w:hAnsi="Times New Roman" w:eastAsia="Times New Roman"/>
          <w:b/>
          <w:color w:val="auto"/>
          <w:kern w:val="2"/>
          <w:sz w:val="32"/>
          <w:szCs w:val="24"/>
        </w:rPr>
      </w:pPr>
      <w:r>
        <w:rPr>
          <w:rFonts w:hint="eastAsia" w:ascii="楷体" w:hAnsi="楷体" w:eastAsia="楷体"/>
          <w:b/>
          <w:color w:val="auto"/>
          <w:kern w:val="2"/>
          <w:sz w:val="32"/>
          <w:szCs w:val="24"/>
        </w:rPr>
        <w:t>（二）社会保障和就业支出（类）</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社会保障和就业支出类决算数为</w:t>
      </w:r>
      <w:r>
        <w:rPr>
          <w:rFonts w:hint="default" w:ascii="Times New Roman" w:hAnsi="Times New Roman" w:eastAsia="Times New Roman"/>
          <w:color w:val="auto"/>
          <w:kern w:val="2"/>
          <w:sz w:val="32"/>
          <w:szCs w:val="24"/>
          <w:u w:val="single"/>
        </w:rPr>
        <w:t>394.89</w:t>
      </w:r>
      <w:r>
        <w:rPr>
          <w:rFonts w:hint="eastAsia" w:ascii="仿宋_GB2312" w:hAnsi="仿宋_GB2312" w:eastAsia="仿宋_GB2312"/>
          <w:color w:val="auto"/>
          <w:kern w:val="2"/>
          <w:sz w:val="32"/>
          <w:szCs w:val="24"/>
        </w:rPr>
        <w:t>万元，与年初预算相比增加</w:t>
      </w:r>
      <w:r>
        <w:rPr>
          <w:rFonts w:hint="default" w:ascii="Times New Roman" w:hAnsi="Times New Roman" w:eastAsia="Times New Roman"/>
          <w:color w:val="auto"/>
          <w:kern w:val="2"/>
          <w:sz w:val="32"/>
          <w:szCs w:val="24"/>
          <w:u w:val="single"/>
        </w:rPr>
        <w:t>197.1</w:t>
      </w:r>
      <w:r>
        <w:rPr>
          <w:rFonts w:hint="eastAsia" w:ascii="仿宋_GB2312" w:hAnsi="仿宋_GB2312" w:eastAsia="仿宋_GB2312"/>
          <w:color w:val="auto"/>
          <w:kern w:val="2"/>
          <w:sz w:val="32"/>
          <w:szCs w:val="24"/>
        </w:rPr>
        <w:t>万元。其中：</w:t>
      </w:r>
    </w:p>
    <w:p>
      <w:pPr>
        <w:spacing w:beforeLines="0" w:afterLines="0" w:line="560" w:lineRule="exact"/>
        <w:ind w:firstLine="640"/>
        <w:jc w:val="both"/>
        <w:rPr>
          <w:rFonts w:hint="eastAsia" w:ascii="仿宋_GB2312" w:hAnsi="仿宋_GB2312" w:eastAsia="仿宋_GB2312"/>
          <w:color w:val="auto"/>
          <w:kern w:val="2"/>
          <w:sz w:val="32"/>
          <w:szCs w:val="24"/>
        </w:rPr>
      </w:pPr>
      <w:r>
        <w:rPr>
          <w:rFonts w:hint="default" w:ascii="Times New Roman" w:hAnsi="Times New Roman" w:eastAsia="Times New Roman"/>
          <w:color w:val="auto"/>
          <w:kern w:val="2"/>
          <w:sz w:val="32"/>
          <w:szCs w:val="24"/>
        </w:rPr>
        <w:t>1</w:t>
      </w:r>
      <w:r>
        <w:rPr>
          <w:rFonts w:hint="eastAsia" w:ascii="仿宋_GB2312" w:hAnsi="仿宋_GB2312" w:eastAsia="仿宋_GB2312"/>
          <w:color w:val="auto"/>
          <w:kern w:val="2"/>
          <w:sz w:val="32"/>
          <w:szCs w:val="24"/>
        </w:rPr>
        <w:t>．行政事业单位养老支出（款）行政单位离退休（项）。年初预算</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47.01</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万元，支出决算</w:t>
      </w:r>
      <w:r>
        <w:rPr>
          <w:rFonts w:hint="eastAsia" w:ascii="Times New Roman" w:hAnsi="Times New Roman" w:eastAsia="宋体"/>
          <w:color w:val="auto"/>
          <w:kern w:val="2"/>
          <w:sz w:val="32"/>
          <w:szCs w:val="24"/>
          <w:u w:val="single"/>
          <w:lang w:val="en-US" w:eastAsia="zh-CN"/>
        </w:rPr>
        <w:t>115.55</w:t>
      </w:r>
      <w:r>
        <w:rPr>
          <w:rFonts w:hint="eastAsia" w:ascii="仿宋_GB2312" w:hAnsi="仿宋_GB2312" w:eastAsia="仿宋_GB2312"/>
          <w:color w:val="auto"/>
          <w:kern w:val="2"/>
          <w:sz w:val="32"/>
          <w:szCs w:val="24"/>
        </w:rPr>
        <w:t>万元，完成年初预算的</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245.79</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%。决算数与年初预算数的差异原因：</w:t>
      </w:r>
      <w:r>
        <w:rPr>
          <w:rFonts w:hint="eastAsia" w:ascii="仿宋_GB2312" w:hAnsi="仿宋_GB2312" w:eastAsia="仿宋_GB2312"/>
          <w:color w:val="auto"/>
          <w:kern w:val="2"/>
          <w:sz w:val="32"/>
          <w:szCs w:val="24"/>
          <w:lang w:val="en-US" w:eastAsia="zh-CN"/>
        </w:rPr>
        <w:t>由于2022年政策性增资，导致退休人员工资比当年预算增幅比例较大</w:t>
      </w:r>
      <w:r>
        <w:rPr>
          <w:rFonts w:hint="eastAsia" w:ascii="仿宋_GB2312" w:hAnsi="仿宋_GB2312" w:eastAsia="仿宋_GB2312"/>
          <w:color w:val="auto"/>
          <w:kern w:val="2"/>
          <w:sz w:val="32"/>
          <w:szCs w:val="24"/>
        </w:rPr>
        <w:t>。</w:t>
      </w:r>
    </w:p>
    <w:p>
      <w:pPr>
        <w:spacing w:beforeLines="0" w:afterLines="0" w:line="560" w:lineRule="exact"/>
        <w:ind w:firstLine="640"/>
        <w:jc w:val="both"/>
        <w:rPr>
          <w:rFonts w:hint="eastAsia" w:ascii="仿宋_GB2312" w:hAnsi="仿宋_GB2312" w:eastAsia="仿宋_GB2312"/>
          <w:color w:val="auto"/>
          <w:kern w:val="2"/>
          <w:sz w:val="32"/>
          <w:szCs w:val="24"/>
        </w:rPr>
      </w:pPr>
      <w:r>
        <w:rPr>
          <w:rFonts w:hint="default" w:ascii="Times New Roman" w:hAnsi="Times New Roman" w:eastAsia="Times New Roman"/>
          <w:color w:val="auto"/>
          <w:kern w:val="2"/>
          <w:sz w:val="32"/>
          <w:szCs w:val="24"/>
        </w:rPr>
        <w:t>2</w:t>
      </w:r>
      <w:r>
        <w:rPr>
          <w:rFonts w:hint="eastAsia" w:ascii="仿宋_GB2312" w:hAnsi="仿宋_GB2312" w:eastAsia="仿宋_GB2312"/>
          <w:color w:val="auto"/>
          <w:kern w:val="2"/>
          <w:sz w:val="32"/>
          <w:szCs w:val="24"/>
        </w:rPr>
        <w:t>．行政事业单位养老支出（款）事业单位离退休（项）。年初预算</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0.85</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万元，支出决算</w:t>
      </w:r>
      <w:r>
        <w:rPr>
          <w:rFonts w:hint="default" w:ascii="Times New Roman" w:hAnsi="Times New Roman" w:eastAsia="Times New Roman"/>
          <w:color w:val="auto"/>
          <w:kern w:val="2"/>
          <w:sz w:val="32"/>
          <w:szCs w:val="24"/>
          <w:u w:val="single"/>
        </w:rPr>
        <w:t>1.97</w:t>
      </w:r>
      <w:r>
        <w:rPr>
          <w:rFonts w:hint="eastAsia" w:ascii="仿宋_GB2312" w:hAnsi="仿宋_GB2312" w:eastAsia="仿宋_GB2312"/>
          <w:color w:val="auto"/>
          <w:kern w:val="2"/>
          <w:sz w:val="32"/>
          <w:szCs w:val="24"/>
        </w:rPr>
        <w:t>万元，完成年初预算的</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%。决算数与年初预算数的差异原因：</w:t>
      </w:r>
      <w:r>
        <w:rPr>
          <w:rFonts w:hint="eastAsia" w:ascii="仿宋_GB2312" w:hAnsi="仿宋_GB2312" w:eastAsia="仿宋_GB2312"/>
          <w:color w:val="auto"/>
          <w:kern w:val="2"/>
          <w:sz w:val="32"/>
          <w:szCs w:val="24"/>
          <w:lang w:val="en-US" w:eastAsia="zh-CN"/>
        </w:rPr>
        <w:t>由于2022年政策性增资，导致退休人员工资比当年预算增幅比例较大</w:t>
      </w:r>
      <w:r>
        <w:rPr>
          <w:rFonts w:hint="eastAsia" w:ascii="仿宋_GB2312" w:hAnsi="仿宋_GB2312" w:eastAsia="仿宋_GB2312"/>
          <w:color w:val="auto"/>
          <w:kern w:val="2"/>
          <w:sz w:val="32"/>
          <w:szCs w:val="24"/>
        </w:rPr>
        <w:t>。</w:t>
      </w:r>
    </w:p>
    <w:p>
      <w:pPr>
        <w:spacing w:beforeLines="0" w:afterLines="0" w:line="560" w:lineRule="exact"/>
        <w:ind w:firstLine="640"/>
        <w:jc w:val="both"/>
        <w:rPr>
          <w:rFonts w:hint="eastAsia" w:ascii="仿宋_GB2312" w:hAnsi="仿宋_GB2312" w:eastAsia="仿宋_GB2312"/>
          <w:color w:val="auto"/>
          <w:kern w:val="2"/>
          <w:sz w:val="32"/>
          <w:szCs w:val="24"/>
        </w:rPr>
      </w:pPr>
      <w:r>
        <w:rPr>
          <w:rFonts w:hint="default" w:ascii="Times New Roman" w:hAnsi="Times New Roman" w:eastAsia="Times New Roman"/>
          <w:color w:val="auto"/>
          <w:kern w:val="2"/>
          <w:sz w:val="32"/>
          <w:szCs w:val="24"/>
        </w:rPr>
        <w:t>3</w:t>
      </w:r>
      <w:r>
        <w:rPr>
          <w:rFonts w:hint="eastAsia" w:ascii="仿宋_GB2312" w:hAnsi="仿宋_GB2312" w:eastAsia="仿宋_GB2312"/>
          <w:color w:val="auto"/>
          <w:kern w:val="2"/>
          <w:sz w:val="32"/>
          <w:szCs w:val="24"/>
        </w:rPr>
        <w:t>．行政事业单位养老支出（款）机关事业单位基本养老保险缴费支出（项）。年初预算</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126.84</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万元，支出决算</w:t>
      </w:r>
      <w:r>
        <w:rPr>
          <w:rFonts w:hint="default" w:ascii="Times New Roman" w:hAnsi="Times New Roman" w:eastAsia="Times New Roman"/>
          <w:color w:val="auto"/>
          <w:kern w:val="2"/>
          <w:sz w:val="32"/>
          <w:szCs w:val="24"/>
          <w:u w:val="single"/>
        </w:rPr>
        <w:t>136.27</w:t>
      </w:r>
      <w:r>
        <w:rPr>
          <w:rFonts w:hint="eastAsia" w:ascii="仿宋_GB2312" w:hAnsi="仿宋_GB2312" w:eastAsia="仿宋_GB2312"/>
          <w:color w:val="auto"/>
          <w:kern w:val="2"/>
          <w:sz w:val="32"/>
          <w:szCs w:val="24"/>
        </w:rPr>
        <w:t>万元，完成年初预算的</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107.43</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%。决算数与年初预算数的差异原因：</w:t>
      </w:r>
      <w:r>
        <w:rPr>
          <w:rFonts w:hint="eastAsia" w:ascii="仿宋_GB2312" w:hAnsi="仿宋_GB2312" w:eastAsia="仿宋_GB2312"/>
          <w:color w:val="auto"/>
          <w:kern w:val="2"/>
          <w:sz w:val="32"/>
          <w:szCs w:val="24"/>
          <w:lang w:val="en-US" w:eastAsia="zh-CN"/>
        </w:rPr>
        <w:t>由于2022年政策性增资，在职人员工资比当年预算增幅比例较大，导致机关事业单位养老保险超预算</w:t>
      </w:r>
      <w:r>
        <w:rPr>
          <w:rFonts w:hint="eastAsia" w:ascii="仿宋_GB2312" w:hAnsi="仿宋_GB2312" w:eastAsia="仿宋_GB2312"/>
          <w:color w:val="auto"/>
          <w:kern w:val="2"/>
          <w:sz w:val="32"/>
          <w:szCs w:val="24"/>
        </w:rPr>
        <w:t>。</w:t>
      </w:r>
    </w:p>
    <w:p>
      <w:pPr>
        <w:spacing w:beforeLines="0" w:afterLines="0" w:line="560" w:lineRule="exact"/>
        <w:ind w:firstLine="640"/>
        <w:jc w:val="both"/>
        <w:rPr>
          <w:rFonts w:hint="eastAsia" w:ascii="仿宋_GB2312" w:hAnsi="仿宋_GB2312" w:eastAsia="仿宋_GB2312"/>
          <w:color w:val="auto"/>
          <w:kern w:val="2"/>
          <w:sz w:val="32"/>
          <w:szCs w:val="24"/>
        </w:rPr>
      </w:pPr>
      <w:r>
        <w:rPr>
          <w:rFonts w:hint="default" w:ascii="Times New Roman" w:hAnsi="Times New Roman" w:eastAsia="Times New Roman"/>
          <w:color w:val="auto"/>
          <w:kern w:val="2"/>
          <w:sz w:val="32"/>
          <w:szCs w:val="24"/>
        </w:rPr>
        <w:t>4</w:t>
      </w:r>
      <w:r>
        <w:rPr>
          <w:rFonts w:hint="eastAsia" w:ascii="仿宋_GB2312" w:hAnsi="仿宋_GB2312" w:eastAsia="仿宋_GB2312"/>
          <w:color w:val="auto"/>
          <w:kern w:val="2"/>
          <w:sz w:val="32"/>
          <w:szCs w:val="24"/>
        </w:rPr>
        <w:t>．行政事业单位养老支出（款）机关事业单位职业年金缴费支出（项）。年初预算</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0</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万元，支出决算</w:t>
      </w:r>
      <w:r>
        <w:rPr>
          <w:rFonts w:hint="default" w:ascii="Times New Roman" w:hAnsi="Times New Roman" w:eastAsia="Times New Roman"/>
          <w:color w:val="auto"/>
          <w:kern w:val="2"/>
          <w:sz w:val="32"/>
          <w:szCs w:val="24"/>
          <w:u w:val="single"/>
        </w:rPr>
        <w:t>32.57</w:t>
      </w:r>
      <w:r>
        <w:rPr>
          <w:rFonts w:hint="eastAsia" w:ascii="仿宋_GB2312" w:hAnsi="仿宋_GB2312" w:eastAsia="仿宋_GB2312"/>
          <w:color w:val="auto"/>
          <w:kern w:val="2"/>
          <w:sz w:val="32"/>
          <w:szCs w:val="24"/>
        </w:rPr>
        <w:t>万元，完成年初预算的</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%。决算数与年初预算数的差异原因：</w:t>
      </w:r>
      <w:r>
        <w:rPr>
          <w:rFonts w:hint="eastAsia" w:ascii="仿宋_GB2312" w:hAnsi="仿宋_GB2312" w:eastAsia="仿宋_GB2312"/>
          <w:color w:val="auto"/>
          <w:kern w:val="2"/>
          <w:sz w:val="32"/>
          <w:szCs w:val="24"/>
          <w:lang w:val="en-US" w:eastAsia="zh-CN"/>
        </w:rPr>
        <w:t>因机关事业单位职业看多金实行记帐制，实际退休后财政预算一次补缴坐实金额</w:t>
      </w:r>
      <w:r>
        <w:rPr>
          <w:rFonts w:hint="eastAsia" w:ascii="仿宋_GB2312" w:hAnsi="仿宋_GB2312" w:eastAsia="仿宋_GB2312"/>
          <w:color w:val="auto"/>
          <w:kern w:val="2"/>
          <w:sz w:val="32"/>
          <w:szCs w:val="24"/>
        </w:rPr>
        <w:t>。</w:t>
      </w:r>
    </w:p>
    <w:p>
      <w:pPr>
        <w:spacing w:beforeLines="0" w:afterLines="0" w:line="560" w:lineRule="exact"/>
        <w:ind w:firstLine="640"/>
        <w:jc w:val="both"/>
        <w:rPr>
          <w:rFonts w:hint="default" w:eastAsia="仿宋_GB2312"/>
          <w:lang w:val="en-US" w:eastAsia="zh-CN"/>
        </w:rPr>
      </w:pPr>
      <w:r>
        <w:rPr>
          <w:rFonts w:hint="eastAsia" w:hAnsi="仿宋_GB2312"/>
          <w:color w:val="auto"/>
          <w:kern w:val="2"/>
          <w:sz w:val="32"/>
          <w:szCs w:val="24"/>
          <w:lang w:val="en-US" w:eastAsia="zh-CN"/>
        </w:rPr>
        <w:t>5.</w:t>
      </w:r>
      <w:r>
        <w:rPr>
          <w:rFonts w:hint="eastAsia" w:ascii="仿宋_GB2312" w:hAnsi="仿宋_GB2312" w:eastAsia="仿宋_GB2312"/>
          <w:color w:val="auto"/>
          <w:kern w:val="2"/>
          <w:sz w:val="32"/>
          <w:szCs w:val="24"/>
        </w:rPr>
        <w:t>行政事业单位</w:t>
      </w:r>
      <w:r>
        <w:rPr>
          <w:rFonts w:hint="eastAsia" w:ascii="仿宋_GB2312" w:hAnsi="仿宋_GB2312" w:eastAsia="仿宋_GB2312"/>
          <w:color w:val="auto"/>
          <w:kern w:val="2"/>
          <w:sz w:val="32"/>
          <w:szCs w:val="24"/>
          <w:lang w:val="en-US" w:eastAsia="zh-CN"/>
        </w:rPr>
        <w:t>死亡抚恤</w:t>
      </w:r>
      <w:r>
        <w:rPr>
          <w:rFonts w:hint="eastAsia" w:ascii="仿宋_GB2312" w:hAnsi="仿宋_GB2312" w:eastAsia="仿宋_GB2312"/>
          <w:color w:val="auto"/>
          <w:kern w:val="2"/>
          <w:sz w:val="32"/>
          <w:szCs w:val="24"/>
        </w:rPr>
        <w:t>缴费支出（项）。年初预算</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3.84</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万元，支出决算</w:t>
      </w:r>
      <w:r>
        <w:rPr>
          <w:rFonts w:hint="eastAsia" w:ascii="Times New Roman" w:hAnsi="Times New Roman" w:eastAsia="宋体"/>
          <w:color w:val="auto"/>
          <w:kern w:val="2"/>
          <w:sz w:val="32"/>
          <w:szCs w:val="24"/>
          <w:u w:val="single"/>
          <w:lang w:val="en-US" w:eastAsia="zh-CN"/>
        </w:rPr>
        <w:t>96.77</w:t>
      </w:r>
      <w:r>
        <w:rPr>
          <w:rFonts w:hint="eastAsia" w:ascii="仿宋_GB2312" w:hAnsi="仿宋_GB2312" w:eastAsia="仿宋_GB2312"/>
          <w:color w:val="auto"/>
          <w:kern w:val="2"/>
          <w:sz w:val="32"/>
          <w:szCs w:val="24"/>
        </w:rPr>
        <w:t>万元，完成年初预算的</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2500.20</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%。决算数与年初预算数的差异原因：</w:t>
      </w:r>
      <w:r>
        <w:rPr>
          <w:rFonts w:hint="eastAsia" w:ascii="仿宋_GB2312" w:hAnsi="仿宋_GB2312" w:eastAsia="仿宋_GB2312"/>
          <w:color w:val="auto"/>
          <w:kern w:val="2"/>
          <w:sz w:val="32"/>
          <w:szCs w:val="24"/>
          <w:lang w:val="en-US" w:eastAsia="zh-CN"/>
        </w:rPr>
        <w:t>因市财政局本年两位退休人员去世，死亡抚恤及伤残抚恤比上年增长92万元。</w:t>
      </w:r>
    </w:p>
    <w:p>
      <w:pPr>
        <w:tabs>
          <w:tab w:val="left" w:pos="4275"/>
        </w:tabs>
        <w:spacing w:beforeLines="0" w:afterLines="0" w:line="560" w:lineRule="exact"/>
        <w:ind w:firstLine="643"/>
        <w:jc w:val="both"/>
        <w:rPr>
          <w:rFonts w:hint="default" w:ascii="Times New Roman" w:hAnsi="Times New Roman" w:eastAsia="Times New Roman"/>
          <w:b/>
          <w:color w:val="auto"/>
          <w:kern w:val="2"/>
          <w:sz w:val="32"/>
          <w:szCs w:val="24"/>
        </w:rPr>
      </w:pPr>
      <w:r>
        <w:rPr>
          <w:rFonts w:hint="eastAsia" w:ascii="楷体" w:hAnsi="楷体" w:eastAsia="楷体"/>
          <w:b/>
          <w:color w:val="auto"/>
          <w:kern w:val="2"/>
          <w:sz w:val="32"/>
          <w:szCs w:val="24"/>
        </w:rPr>
        <w:t>（</w:t>
      </w:r>
      <w:r>
        <w:rPr>
          <w:rFonts w:hint="eastAsia" w:ascii="楷体" w:hAnsi="楷体" w:eastAsia="楷体"/>
          <w:b/>
          <w:color w:val="auto"/>
          <w:kern w:val="2"/>
          <w:sz w:val="32"/>
          <w:szCs w:val="24"/>
          <w:lang w:val="en-US" w:eastAsia="zh-CN"/>
        </w:rPr>
        <w:t>三</w:t>
      </w:r>
      <w:r>
        <w:rPr>
          <w:rFonts w:hint="eastAsia" w:ascii="楷体" w:hAnsi="楷体" w:eastAsia="楷体"/>
          <w:b/>
          <w:color w:val="auto"/>
          <w:kern w:val="2"/>
          <w:sz w:val="32"/>
          <w:szCs w:val="24"/>
        </w:rPr>
        <w:t>）卫生健康支出（类）</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卫生健康支出类决算数为</w:t>
      </w:r>
      <w:r>
        <w:rPr>
          <w:rFonts w:hint="default" w:ascii="Times New Roman" w:hAnsi="Times New Roman" w:eastAsia="Times New Roman"/>
          <w:color w:val="auto"/>
          <w:kern w:val="2"/>
          <w:sz w:val="32"/>
          <w:szCs w:val="24"/>
          <w:u w:val="single"/>
        </w:rPr>
        <w:t>106.26</w:t>
      </w:r>
      <w:r>
        <w:rPr>
          <w:rFonts w:hint="eastAsia" w:ascii="仿宋_GB2312" w:hAnsi="仿宋_GB2312" w:eastAsia="仿宋_GB2312"/>
          <w:color w:val="auto"/>
          <w:kern w:val="2"/>
          <w:sz w:val="32"/>
          <w:szCs w:val="24"/>
        </w:rPr>
        <w:t>万元，与年初预算相比增加</w:t>
      </w:r>
      <w:r>
        <w:rPr>
          <w:rFonts w:hint="default" w:ascii="Times New Roman" w:hAnsi="Times New Roman" w:eastAsia="Times New Roman"/>
          <w:color w:val="auto"/>
          <w:kern w:val="2"/>
          <w:sz w:val="32"/>
          <w:szCs w:val="24"/>
          <w:u w:val="single"/>
        </w:rPr>
        <w:t>11.59</w:t>
      </w:r>
      <w:r>
        <w:rPr>
          <w:rFonts w:hint="eastAsia" w:ascii="仿宋_GB2312" w:hAnsi="仿宋_GB2312" w:eastAsia="仿宋_GB2312"/>
          <w:color w:val="auto"/>
          <w:kern w:val="2"/>
          <w:sz w:val="32"/>
          <w:szCs w:val="24"/>
        </w:rPr>
        <w:t>万元。其中：</w:t>
      </w:r>
    </w:p>
    <w:p>
      <w:pPr>
        <w:numPr>
          <w:ilvl w:val="0"/>
          <w:numId w:val="1"/>
        </w:numPr>
        <w:spacing w:beforeLines="0" w:afterLines="0" w:line="560" w:lineRule="exact"/>
        <w:ind w:left="80" w:leftChars="0" w:firstLine="640" w:firstLineChars="0"/>
        <w:jc w:val="both"/>
        <w:rPr>
          <w:rFonts w:hint="eastAsia" w:ascii="仿宋_GB2312" w:hAnsi="仿宋_GB2312" w:eastAsia="仿宋_GB2312"/>
          <w:color w:val="auto"/>
          <w:kern w:val="2"/>
          <w:sz w:val="32"/>
          <w:szCs w:val="24"/>
          <w:lang w:val="en-US" w:eastAsia="zh-CN"/>
        </w:rPr>
      </w:pPr>
      <w:r>
        <w:rPr>
          <w:rFonts w:hint="eastAsia" w:ascii="仿宋_GB2312" w:hAnsi="仿宋_GB2312" w:eastAsia="仿宋_GB2312"/>
          <w:color w:val="auto"/>
          <w:kern w:val="2"/>
          <w:sz w:val="32"/>
          <w:szCs w:val="24"/>
        </w:rPr>
        <w:t>行政事业单位医疗（款）行政单位医疗（项）。年初预算</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48.37</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万元，支出决算</w:t>
      </w:r>
      <w:r>
        <w:rPr>
          <w:rFonts w:hint="default" w:ascii="Times New Roman" w:hAnsi="Times New Roman" w:eastAsia="Times New Roman"/>
          <w:color w:val="auto"/>
          <w:kern w:val="2"/>
          <w:sz w:val="32"/>
          <w:szCs w:val="24"/>
          <w:u w:val="single"/>
        </w:rPr>
        <w:t>55.66</w:t>
      </w:r>
      <w:r>
        <w:rPr>
          <w:rFonts w:hint="eastAsia" w:ascii="仿宋_GB2312" w:hAnsi="仿宋_GB2312" w:eastAsia="仿宋_GB2312"/>
          <w:color w:val="auto"/>
          <w:kern w:val="2"/>
          <w:sz w:val="32"/>
          <w:szCs w:val="24"/>
        </w:rPr>
        <w:t>万元，完成年初预算的</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115.07</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%。决算数与年初预算数的差异原因：</w:t>
      </w:r>
      <w:r>
        <w:rPr>
          <w:rFonts w:hint="eastAsia" w:ascii="仿宋_GB2312" w:hAnsi="仿宋_GB2312" w:eastAsia="仿宋_GB2312"/>
          <w:color w:val="auto"/>
          <w:kern w:val="2"/>
          <w:sz w:val="32"/>
          <w:szCs w:val="24"/>
          <w:lang w:val="en-US" w:eastAsia="zh-CN"/>
        </w:rPr>
        <w:t>由于2022年政策性增资，在职人员工资比当年预算增幅比例较大，导致行政单位医疗超预算。</w:t>
      </w:r>
    </w:p>
    <w:p>
      <w:pPr>
        <w:numPr>
          <w:ilvl w:val="0"/>
          <w:numId w:val="1"/>
        </w:numPr>
        <w:spacing w:beforeLines="0" w:afterLines="0" w:line="560" w:lineRule="exact"/>
        <w:ind w:left="80" w:leftChars="0" w:firstLine="640" w:firstLineChars="0"/>
        <w:jc w:val="both"/>
        <w:rPr>
          <w:rFonts w:hint="eastAsia" w:ascii="仿宋_GB2312" w:hAnsi="仿宋_GB2312" w:eastAsia="仿宋_GB2312"/>
          <w:color w:val="auto"/>
          <w:kern w:val="2"/>
          <w:sz w:val="32"/>
          <w:szCs w:val="24"/>
        </w:rPr>
      </w:pPr>
      <w:r>
        <w:rPr>
          <w:rFonts w:hint="eastAsia" w:ascii="仿宋_GB2312" w:hAnsi="仿宋_GB2312" w:eastAsia="仿宋_GB2312"/>
          <w:color w:val="auto"/>
          <w:kern w:val="2"/>
          <w:sz w:val="32"/>
          <w:szCs w:val="24"/>
        </w:rPr>
        <w:t>行政事业单位医疗（款）事业单位医疗（项）。年初预算</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15.19</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万元，支出决算</w:t>
      </w:r>
      <w:r>
        <w:rPr>
          <w:rFonts w:hint="default" w:ascii="Times New Roman" w:hAnsi="Times New Roman" w:eastAsia="Times New Roman"/>
          <w:color w:val="auto"/>
          <w:kern w:val="2"/>
          <w:sz w:val="32"/>
          <w:szCs w:val="24"/>
          <w:u w:val="single"/>
        </w:rPr>
        <w:t>16.24</w:t>
      </w:r>
      <w:r>
        <w:rPr>
          <w:rFonts w:hint="eastAsia" w:ascii="仿宋_GB2312" w:hAnsi="仿宋_GB2312" w:eastAsia="仿宋_GB2312"/>
          <w:color w:val="auto"/>
          <w:kern w:val="2"/>
          <w:sz w:val="32"/>
          <w:szCs w:val="24"/>
        </w:rPr>
        <w:t>万元，完成年初预算的</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106.91</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%。决算数与年初预算数的差异原因：</w:t>
      </w:r>
      <w:r>
        <w:rPr>
          <w:rFonts w:hint="eastAsia" w:ascii="仿宋_GB2312" w:hAnsi="仿宋_GB2312" w:eastAsia="仿宋_GB2312"/>
          <w:color w:val="auto"/>
          <w:kern w:val="2"/>
          <w:sz w:val="32"/>
          <w:szCs w:val="24"/>
          <w:lang w:val="en-US" w:eastAsia="zh-CN"/>
        </w:rPr>
        <w:t>由于2022年政策性增资，在职人员工资比当年预算增幅比例较大，导致事业单位医疗超预算。</w:t>
      </w:r>
    </w:p>
    <w:p>
      <w:pPr>
        <w:numPr>
          <w:ilvl w:val="0"/>
          <w:numId w:val="1"/>
        </w:numPr>
        <w:spacing w:beforeLines="0" w:afterLines="0" w:line="560" w:lineRule="exact"/>
        <w:ind w:left="80" w:leftChars="0" w:firstLine="640" w:firstLineChars="0"/>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行政事业单位医疗（款）公务员医疗补助（项）。年初预算</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31.11</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万元，支出决算</w:t>
      </w:r>
      <w:r>
        <w:rPr>
          <w:rFonts w:hint="default" w:ascii="Times New Roman" w:hAnsi="Times New Roman" w:eastAsia="Times New Roman"/>
          <w:color w:val="auto"/>
          <w:kern w:val="2"/>
          <w:sz w:val="32"/>
          <w:szCs w:val="24"/>
          <w:u w:val="single"/>
        </w:rPr>
        <w:t>34.36</w:t>
      </w:r>
      <w:r>
        <w:rPr>
          <w:rFonts w:hint="eastAsia" w:ascii="仿宋_GB2312" w:hAnsi="仿宋_GB2312" w:eastAsia="仿宋_GB2312"/>
          <w:color w:val="auto"/>
          <w:kern w:val="2"/>
          <w:sz w:val="32"/>
          <w:szCs w:val="24"/>
        </w:rPr>
        <w:t>万元，完成年初预算的</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110.44</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%。决算数与年初预算数的差异原因：</w:t>
      </w:r>
      <w:r>
        <w:rPr>
          <w:rFonts w:hint="eastAsia" w:ascii="仿宋_GB2312" w:hAnsi="仿宋_GB2312" w:eastAsia="仿宋_GB2312"/>
          <w:color w:val="auto"/>
          <w:kern w:val="2"/>
          <w:sz w:val="32"/>
          <w:szCs w:val="24"/>
          <w:lang w:val="en-US" w:eastAsia="zh-CN"/>
        </w:rPr>
        <w:t>由于2022年政策性增资，在职人员工资比当年预算增幅比例较大，导致公务员医疗单位超预算。</w:t>
      </w:r>
    </w:p>
    <w:p>
      <w:pPr>
        <w:tabs>
          <w:tab w:val="left" w:pos="4275"/>
        </w:tabs>
        <w:spacing w:beforeLines="0" w:afterLines="0" w:line="560" w:lineRule="exact"/>
        <w:ind w:firstLine="643"/>
        <w:jc w:val="both"/>
        <w:rPr>
          <w:rFonts w:hint="default" w:ascii="Times New Roman" w:hAnsi="Times New Roman" w:eastAsia="Times New Roman"/>
          <w:b/>
          <w:color w:val="auto"/>
          <w:kern w:val="2"/>
          <w:sz w:val="32"/>
          <w:szCs w:val="24"/>
        </w:rPr>
      </w:pPr>
      <w:r>
        <w:rPr>
          <w:rFonts w:hint="eastAsia" w:ascii="楷体" w:hAnsi="楷体" w:eastAsia="楷体"/>
          <w:b/>
          <w:color w:val="auto"/>
          <w:kern w:val="2"/>
          <w:sz w:val="32"/>
          <w:szCs w:val="24"/>
        </w:rPr>
        <w:t>（五）住房保障支出（类）</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住房保障支出类决算数为</w:t>
      </w:r>
      <w:r>
        <w:rPr>
          <w:rFonts w:hint="default" w:ascii="Times New Roman" w:hAnsi="Times New Roman" w:eastAsia="Times New Roman"/>
          <w:color w:val="auto"/>
          <w:kern w:val="2"/>
          <w:sz w:val="32"/>
          <w:szCs w:val="24"/>
          <w:u w:val="single"/>
        </w:rPr>
        <w:t>95.84</w:t>
      </w:r>
      <w:r>
        <w:rPr>
          <w:rFonts w:hint="eastAsia" w:ascii="仿宋_GB2312" w:hAnsi="仿宋_GB2312" w:eastAsia="仿宋_GB2312"/>
          <w:color w:val="auto"/>
          <w:kern w:val="2"/>
          <w:sz w:val="32"/>
          <w:szCs w:val="24"/>
        </w:rPr>
        <w:t>万元，与年初预算相比增加（减少）</w:t>
      </w:r>
      <w:r>
        <w:rPr>
          <w:rFonts w:hint="default" w:ascii="Times New Roman" w:hAnsi="Times New Roman" w:eastAsia="Times New Roman"/>
          <w:color w:val="auto"/>
          <w:kern w:val="2"/>
          <w:sz w:val="32"/>
          <w:szCs w:val="24"/>
          <w:u w:val="single"/>
        </w:rPr>
        <w:t>95.84</w:t>
      </w:r>
      <w:r>
        <w:rPr>
          <w:rFonts w:hint="eastAsia" w:ascii="仿宋_GB2312" w:hAnsi="仿宋_GB2312" w:eastAsia="仿宋_GB2312"/>
          <w:color w:val="auto"/>
          <w:kern w:val="2"/>
          <w:sz w:val="32"/>
          <w:szCs w:val="24"/>
        </w:rPr>
        <w:t>万元。其中：</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default" w:ascii="Times New Roman" w:hAnsi="Times New Roman" w:eastAsia="Times New Roman"/>
          <w:color w:val="auto"/>
          <w:kern w:val="2"/>
          <w:sz w:val="32"/>
          <w:szCs w:val="24"/>
        </w:rPr>
        <w:t>1</w:t>
      </w:r>
      <w:r>
        <w:rPr>
          <w:rFonts w:hint="eastAsia" w:ascii="仿宋_GB2312" w:hAnsi="仿宋_GB2312" w:eastAsia="仿宋_GB2312"/>
          <w:color w:val="auto"/>
          <w:kern w:val="2"/>
          <w:sz w:val="32"/>
          <w:szCs w:val="24"/>
        </w:rPr>
        <w:t>．住房改革支出（款）住房公积金（项）。年初预算</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95.84</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万元，支出决算</w:t>
      </w:r>
      <w:r>
        <w:rPr>
          <w:rFonts w:hint="default" w:ascii="Times New Roman" w:hAnsi="Times New Roman" w:eastAsia="Times New Roman"/>
          <w:color w:val="auto"/>
          <w:kern w:val="2"/>
          <w:sz w:val="32"/>
          <w:szCs w:val="24"/>
          <w:u w:val="single"/>
        </w:rPr>
        <w:t>95.84</w:t>
      </w:r>
      <w:r>
        <w:rPr>
          <w:rFonts w:hint="eastAsia" w:ascii="仿宋_GB2312" w:hAnsi="仿宋_GB2312" w:eastAsia="仿宋_GB2312"/>
          <w:color w:val="auto"/>
          <w:kern w:val="2"/>
          <w:sz w:val="32"/>
          <w:szCs w:val="24"/>
        </w:rPr>
        <w:t>万元，完成年初预算的</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100</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%。决算数与年初预算数的差异原因：</w:t>
      </w:r>
      <w:r>
        <w:rPr>
          <w:rFonts w:hint="eastAsia" w:ascii="仿宋_GB2312" w:hAnsi="仿宋_GB2312" w:eastAsia="仿宋_GB2312"/>
          <w:color w:val="auto"/>
          <w:kern w:val="2"/>
          <w:sz w:val="32"/>
          <w:szCs w:val="24"/>
          <w:lang w:val="en-US" w:eastAsia="zh-CN"/>
        </w:rPr>
        <w:t>年初预算在经济建设科统一列入当年预算，2022年4月将该指标划入预算单位</w:t>
      </w:r>
      <w:r>
        <w:rPr>
          <w:rFonts w:hint="eastAsia" w:ascii="仿宋_GB2312" w:hAnsi="仿宋_GB2312" w:eastAsia="仿宋_GB2312"/>
          <w:color w:val="auto"/>
          <w:kern w:val="2"/>
          <w:sz w:val="32"/>
          <w:szCs w:val="24"/>
        </w:rPr>
        <w:t>。</w:t>
      </w:r>
    </w:p>
    <w:p>
      <w:pPr>
        <w:spacing w:beforeLines="0" w:afterLines="0" w:line="600" w:lineRule="exact"/>
        <w:ind w:firstLine="643"/>
        <w:jc w:val="both"/>
        <w:rPr>
          <w:rFonts w:hint="default" w:ascii="Times New Roman" w:hAnsi="Times New Roman" w:eastAsia="Times New Roman"/>
          <w:b/>
          <w:color w:val="auto"/>
          <w:kern w:val="2"/>
          <w:sz w:val="32"/>
          <w:szCs w:val="24"/>
        </w:rPr>
      </w:pPr>
      <w:r>
        <w:rPr>
          <w:rFonts w:hint="eastAsia" w:ascii="黑体" w:hAnsi="黑体" w:eastAsia="黑体"/>
          <w:b/>
          <w:color w:val="auto"/>
          <w:kern w:val="2"/>
          <w:sz w:val="32"/>
          <w:szCs w:val="24"/>
        </w:rPr>
        <w:t>六、一般公共预算基本支出决算情况说明</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内蒙古自治区巴彦淖尔市财政局部门2022年度一般公共预算财政拨款基本支出决算</w:t>
      </w:r>
      <w:r>
        <w:rPr>
          <w:rFonts w:hint="default" w:ascii="Times New Roman" w:hAnsi="Times New Roman" w:eastAsia="Times New Roman"/>
          <w:color w:val="auto"/>
          <w:kern w:val="2"/>
          <w:sz w:val="32"/>
          <w:szCs w:val="24"/>
          <w:u w:val="single"/>
        </w:rPr>
        <w:t>2,092.41</w:t>
      </w:r>
      <w:r>
        <w:rPr>
          <w:rFonts w:hint="eastAsia" w:ascii="仿宋_GB2312" w:hAnsi="仿宋_GB2312" w:eastAsia="仿宋_GB2312"/>
          <w:color w:val="auto"/>
          <w:kern w:val="2"/>
          <w:sz w:val="32"/>
          <w:szCs w:val="24"/>
        </w:rPr>
        <w:t>万元，其中：</w:t>
      </w:r>
    </w:p>
    <w:p>
      <w:pPr>
        <w:spacing w:beforeLines="0" w:afterLines="0" w:line="560" w:lineRule="exact"/>
        <w:ind w:firstLine="643"/>
        <w:jc w:val="both"/>
        <w:rPr>
          <w:rFonts w:hint="default" w:ascii="Times New Roman" w:hAnsi="Times New Roman" w:eastAsia="Times New Roman"/>
          <w:color w:val="auto"/>
          <w:kern w:val="2"/>
          <w:sz w:val="32"/>
          <w:szCs w:val="24"/>
        </w:rPr>
      </w:pPr>
      <w:r>
        <w:rPr>
          <w:rFonts w:hint="eastAsia" w:ascii="仿宋_GB2312" w:hAnsi="仿宋_GB2312" w:eastAsia="仿宋_GB2312"/>
          <w:b/>
          <w:color w:val="auto"/>
          <w:kern w:val="2"/>
          <w:sz w:val="32"/>
          <w:szCs w:val="24"/>
        </w:rPr>
        <w:t>（一）人员经费</w:t>
      </w:r>
      <w:r>
        <w:rPr>
          <w:rFonts w:hint="default" w:ascii="Times New Roman" w:hAnsi="Times New Roman" w:eastAsia="Times New Roman"/>
          <w:b/>
          <w:color w:val="auto"/>
          <w:kern w:val="2"/>
          <w:sz w:val="32"/>
          <w:szCs w:val="24"/>
          <w:u w:val="single"/>
        </w:rPr>
        <w:t>1,918.59</w:t>
      </w:r>
      <w:r>
        <w:rPr>
          <w:rFonts w:hint="eastAsia" w:ascii="仿宋_GB2312" w:hAnsi="仿宋_GB2312" w:eastAsia="仿宋_GB2312"/>
          <w:b/>
          <w:color w:val="auto"/>
          <w:kern w:val="2"/>
          <w:sz w:val="32"/>
          <w:szCs w:val="24"/>
        </w:rPr>
        <w:t>万元</w:t>
      </w:r>
      <w:r>
        <w:rPr>
          <w:rFonts w:hint="eastAsia" w:ascii="仿宋_GB2312" w:hAnsi="仿宋_GB2312" w:eastAsia="仿宋_GB2312"/>
          <w:color w:val="auto"/>
          <w:kern w:val="2"/>
          <w:sz w:val="32"/>
          <w:szCs w:val="24"/>
        </w:rPr>
        <w:t>。主要包括：基本工资</w:t>
      </w:r>
      <w:r>
        <w:rPr>
          <w:rFonts w:hint="eastAsia" w:ascii="仿宋_GB2312" w:hAnsi="仿宋_GB2312" w:eastAsia="仿宋_GB2312"/>
          <w:color w:val="auto"/>
          <w:kern w:val="2"/>
          <w:sz w:val="32"/>
          <w:szCs w:val="24"/>
          <w:lang w:val="en-US" w:eastAsia="zh-CN"/>
        </w:rPr>
        <w:t>871.5万元</w:t>
      </w:r>
      <w:r>
        <w:rPr>
          <w:rFonts w:hint="eastAsia" w:ascii="仿宋_GB2312" w:hAnsi="仿宋_GB2312" w:eastAsia="仿宋_GB2312"/>
          <w:color w:val="auto"/>
          <w:kern w:val="2"/>
          <w:sz w:val="32"/>
          <w:szCs w:val="24"/>
        </w:rPr>
        <w:t>、津贴补贴151.70</w:t>
      </w:r>
      <w:r>
        <w:rPr>
          <w:rFonts w:hint="eastAsia" w:ascii="仿宋_GB2312" w:hAnsi="仿宋_GB2312" w:eastAsia="仿宋_GB2312"/>
          <w:color w:val="auto"/>
          <w:kern w:val="2"/>
          <w:sz w:val="32"/>
          <w:szCs w:val="24"/>
          <w:lang w:val="en-US" w:eastAsia="zh-CN"/>
        </w:rPr>
        <w:t>万元</w:t>
      </w:r>
      <w:r>
        <w:rPr>
          <w:rFonts w:hint="eastAsia" w:ascii="仿宋_GB2312" w:hAnsi="仿宋_GB2312" w:eastAsia="仿宋_GB2312"/>
          <w:color w:val="auto"/>
          <w:kern w:val="2"/>
          <w:sz w:val="32"/>
          <w:szCs w:val="24"/>
        </w:rPr>
        <w:t>、奖金</w:t>
      </w:r>
      <w:r>
        <w:rPr>
          <w:rFonts w:hint="eastAsia" w:ascii="仿宋_GB2312" w:hAnsi="仿宋_GB2312" w:eastAsia="仿宋_GB2312"/>
          <w:color w:val="auto"/>
          <w:kern w:val="2"/>
          <w:sz w:val="32"/>
          <w:szCs w:val="24"/>
          <w:lang w:val="en-US" w:eastAsia="zh-CN"/>
        </w:rPr>
        <w:t>49.72万元</w:t>
      </w:r>
      <w:r>
        <w:rPr>
          <w:rFonts w:hint="eastAsia" w:ascii="仿宋_GB2312" w:hAnsi="仿宋_GB2312" w:eastAsia="仿宋_GB2312"/>
          <w:color w:val="auto"/>
          <w:kern w:val="2"/>
          <w:sz w:val="32"/>
          <w:szCs w:val="24"/>
        </w:rPr>
        <w:t>、社会保障缴费</w:t>
      </w:r>
      <w:r>
        <w:rPr>
          <w:rFonts w:hint="eastAsia" w:ascii="仿宋_GB2312" w:hAnsi="仿宋_GB2312" w:eastAsia="仿宋_GB2312"/>
          <w:color w:val="auto"/>
          <w:kern w:val="2"/>
          <w:sz w:val="32"/>
          <w:szCs w:val="24"/>
          <w:lang w:val="en-US" w:eastAsia="zh-CN"/>
        </w:rPr>
        <w:t>286.10万元</w:t>
      </w:r>
      <w:r>
        <w:rPr>
          <w:rFonts w:hint="eastAsia" w:ascii="仿宋_GB2312" w:hAnsi="仿宋_GB2312" w:eastAsia="仿宋_GB2312"/>
          <w:color w:val="auto"/>
          <w:kern w:val="2"/>
          <w:sz w:val="32"/>
          <w:szCs w:val="24"/>
        </w:rPr>
        <w:t>、伙食补助费</w:t>
      </w:r>
      <w:r>
        <w:rPr>
          <w:rFonts w:hint="eastAsia" w:ascii="仿宋_GB2312" w:hAnsi="仿宋_GB2312" w:eastAsia="仿宋_GB2312"/>
          <w:color w:val="auto"/>
          <w:kern w:val="2"/>
          <w:sz w:val="32"/>
          <w:szCs w:val="24"/>
          <w:lang w:val="en-US" w:eastAsia="zh-CN"/>
        </w:rPr>
        <w:t>0万元</w:t>
      </w:r>
      <w:r>
        <w:rPr>
          <w:rFonts w:hint="eastAsia" w:ascii="仿宋_GB2312" w:hAnsi="仿宋_GB2312" w:eastAsia="仿宋_GB2312"/>
          <w:color w:val="auto"/>
          <w:kern w:val="2"/>
          <w:sz w:val="32"/>
          <w:szCs w:val="24"/>
        </w:rPr>
        <w:t>、绩效工资</w:t>
      </w:r>
      <w:r>
        <w:rPr>
          <w:rFonts w:hint="eastAsia" w:ascii="仿宋_GB2312" w:hAnsi="仿宋_GB2312" w:eastAsia="仿宋_GB2312"/>
          <w:color w:val="auto"/>
          <w:kern w:val="2"/>
          <w:sz w:val="32"/>
          <w:szCs w:val="24"/>
          <w:lang w:val="en-US" w:eastAsia="zh-CN"/>
        </w:rPr>
        <w:t>55.53万元</w:t>
      </w:r>
      <w:r>
        <w:rPr>
          <w:rFonts w:hint="eastAsia" w:ascii="仿宋_GB2312" w:hAnsi="仿宋_GB2312" w:eastAsia="仿宋_GB2312"/>
          <w:color w:val="auto"/>
          <w:kern w:val="2"/>
          <w:sz w:val="32"/>
          <w:szCs w:val="24"/>
        </w:rPr>
        <w:t>、其他工资福利支出</w:t>
      </w:r>
      <w:r>
        <w:rPr>
          <w:rFonts w:hint="eastAsia" w:ascii="仿宋_GB2312" w:hAnsi="仿宋_GB2312" w:eastAsia="仿宋_GB2312"/>
          <w:color w:val="auto"/>
          <w:kern w:val="2"/>
          <w:sz w:val="32"/>
          <w:szCs w:val="24"/>
          <w:lang w:val="en-US" w:eastAsia="zh-CN"/>
        </w:rPr>
        <w:t>136.82万元</w:t>
      </w:r>
      <w:r>
        <w:rPr>
          <w:rFonts w:hint="eastAsia" w:ascii="仿宋_GB2312" w:hAnsi="仿宋_GB2312" w:eastAsia="仿宋_GB2312"/>
          <w:color w:val="auto"/>
          <w:kern w:val="2"/>
          <w:sz w:val="32"/>
          <w:szCs w:val="24"/>
        </w:rPr>
        <w:t>、离休费</w:t>
      </w:r>
      <w:r>
        <w:rPr>
          <w:rFonts w:hint="eastAsia" w:ascii="仿宋_GB2312" w:hAnsi="仿宋_GB2312" w:eastAsia="仿宋_GB2312"/>
          <w:color w:val="auto"/>
          <w:kern w:val="2"/>
          <w:sz w:val="32"/>
          <w:szCs w:val="24"/>
          <w:lang w:val="en-US" w:eastAsia="zh-CN"/>
        </w:rPr>
        <w:t>0万元</w:t>
      </w:r>
      <w:r>
        <w:rPr>
          <w:rFonts w:hint="eastAsia" w:ascii="仿宋_GB2312" w:hAnsi="仿宋_GB2312" w:eastAsia="仿宋_GB2312"/>
          <w:color w:val="auto"/>
          <w:kern w:val="2"/>
          <w:sz w:val="32"/>
          <w:szCs w:val="24"/>
        </w:rPr>
        <w:t>、退休费</w:t>
      </w:r>
      <w:r>
        <w:rPr>
          <w:rFonts w:hint="eastAsia" w:ascii="仿宋_GB2312" w:hAnsi="仿宋_GB2312" w:eastAsia="仿宋_GB2312"/>
          <w:color w:val="auto"/>
          <w:kern w:val="2"/>
          <w:sz w:val="32"/>
          <w:szCs w:val="24"/>
          <w:lang w:val="en-US" w:eastAsia="zh-CN"/>
        </w:rPr>
        <w:t>140.56万元</w:t>
      </w:r>
      <w:r>
        <w:rPr>
          <w:rFonts w:hint="eastAsia" w:ascii="仿宋_GB2312" w:hAnsi="仿宋_GB2312" w:eastAsia="仿宋_GB2312"/>
          <w:color w:val="auto"/>
          <w:kern w:val="2"/>
          <w:sz w:val="32"/>
          <w:szCs w:val="24"/>
        </w:rPr>
        <w:t>、抚恤金</w:t>
      </w:r>
      <w:r>
        <w:rPr>
          <w:rFonts w:hint="eastAsia" w:ascii="仿宋_GB2312" w:hAnsi="仿宋_GB2312" w:eastAsia="仿宋_GB2312"/>
          <w:color w:val="auto"/>
          <w:kern w:val="2"/>
          <w:sz w:val="32"/>
          <w:szCs w:val="24"/>
          <w:lang w:val="en-US" w:eastAsia="zh-CN"/>
        </w:rPr>
        <w:t>96.77万元</w:t>
      </w:r>
      <w:r>
        <w:rPr>
          <w:rFonts w:hint="eastAsia" w:ascii="仿宋_GB2312" w:hAnsi="仿宋_GB2312" w:eastAsia="仿宋_GB2312"/>
          <w:color w:val="auto"/>
          <w:kern w:val="2"/>
          <w:sz w:val="32"/>
          <w:szCs w:val="24"/>
        </w:rPr>
        <w:t>、生活补助</w:t>
      </w:r>
      <w:r>
        <w:rPr>
          <w:rFonts w:hint="eastAsia" w:ascii="仿宋_GB2312" w:hAnsi="仿宋_GB2312" w:eastAsia="仿宋_GB2312"/>
          <w:color w:val="auto"/>
          <w:kern w:val="2"/>
          <w:sz w:val="32"/>
          <w:szCs w:val="24"/>
          <w:lang w:val="en-US" w:eastAsia="zh-CN"/>
        </w:rPr>
        <w:t>34.05万元</w:t>
      </w:r>
      <w:r>
        <w:rPr>
          <w:rFonts w:hint="eastAsia" w:ascii="仿宋_GB2312" w:hAnsi="仿宋_GB2312" w:eastAsia="仿宋_GB2312"/>
          <w:color w:val="auto"/>
          <w:kern w:val="2"/>
          <w:sz w:val="32"/>
          <w:szCs w:val="24"/>
        </w:rPr>
        <w:t>、医疗费</w:t>
      </w:r>
      <w:r>
        <w:rPr>
          <w:rFonts w:hint="eastAsia" w:ascii="仿宋_GB2312" w:hAnsi="仿宋_GB2312" w:eastAsia="仿宋_GB2312"/>
          <w:color w:val="auto"/>
          <w:kern w:val="2"/>
          <w:sz w:val="32"/>
          <w:szCs w:val="24"/>
          <w:lang w:val="en-US" w:eastAsia="zh-CN"/>
        </w:rPr>
        <w:t>0万元</w:t>
      </w:r>
      <w:r>
        <w:rPr>
          <w:rFonts w:hint="eastAsia" w:ascii="仿宋_GB2312" w:hAnsi="仿宋_GB2312" w:eastAsia="仿宋_GB2312"/>
          <w:color w:val="auto"/>
          <w:kern w:val="2"/>
          <w:sz w:val="32"/>
          <w:szCs w:val="24"/>
        </w:rPr>
        <w:t>、奖励金</w:t>
      </w:r>
      <w:r>
        <w:rPr>
          <w:rFonts w:hint="eastAsia" w:ascii="仿宋_GB2312" w:hAnsi="仿宋_GB2312" w:eastAsia="仿宋_GB2312"/>
          <w:color w:val="auto"/>
          <w:kern w:val="2"/>
          <w:sz w:val="32"/>
          <w:szCs w:val="24"/>
          <w:lang w:val="en-US" w:eastAsia="zh-CN"/>
        </w:rPr>
        <w:t>0万元</w:t>
      </w:r>
      <w:r>
        <w:rPr>
          <w:rFonts w:hint="eastAsia" w:ascii="仿宋_GB2312" w:hAnsi="仿宋_GB2312" w:eastAsia="仿宋_GB2312"/>
          <w:color w:val="auto"/>
          <w:kern w:val="2"/>
          <w:sz w:val="32"/>
          <w:szCs w:val="24"/>
        </w:rPr>
        <w:t>、住房公积金</w:t>
      </w:r>
      <w:r>
        <w:rPr>
          <w:rFonts w:hint="eastAsia" w:ascii="仿宋_GB2312" w:hAnsi="仿宋_GB2312" w:eastAsia="仿宋_GB2312"/>
          <w:color w:val="auto"/>
          <w:kern w:val="2"/>
          <w:sz w:val="32"/>
          <w:szCs w:val="24"/>
          <w:lang w:val="en-US" w:eastAsia="zh-CN"/>
        </w:rPr>
        <w:t>95.86万元</w:t>
      </w:r>
      <w:r>
        <w:rPr>
          <w:rFonts w:hint="eastAsia" w:ascii="仿宋_GB2312" w:hAnsi="仿宋_GB2312" w:eastAsia="仿宋_GB2312"/>
          <w:color w:val="auto"/>
          <w:kern w:val="2"/>
          <w:sz w:val="32"/>
          <w:szCs w:val="24"/>
        </w:rPr>
        <w:t>、提租补贴</w:t>
      </w:r>
      <w:r>
        <w:rPr>
          <w:rFonts w:hint="eastAsia" w:ascii="仿宋_GB2312" w:hAnsi="仿宋_GB2312" w:eastAsia="仿宋_GB2312"/>
          <w:color w:val="auto"/>
          <w:kern w:val="2"/>
          <w:sz w:val="32"/>
          <w:szCs w:val="24"/>
          <w:lang w:val="en-US" w:eastAsia="zh-CN"/>
        </w:rPr>
        <w:t>0万元</w:t>
      </w:r>
      <w:r>
        <w:rPr>
          <w:rFonts w:hint="eastAsia" w:ascii="仿宋_GB2312" w:hAnsi="仿宋_GB2312" w:eastAsia="仿宋_GB2312"/>
          <w:color w:val="auto"/>
          <w:kern w:val="2"/>
          <w:sz w:val="32"/>
          <w:szCs w:val="24"/>
        </w:rPr>
        <w:t>、其他对个人和家庭的补助支出等。</w:t>
      </w:r>
    </w:p>
    <w:p>
      <w:pPr>
        <w:spacing w:beforeLines="0" w:afterLines="0" w:line="560" w:lineRule="exact"/>
        <w:ind w:firstLine="643"/>
        <w:jc w:val="both"/>
        <w:rPr>
          <w:rFonts w:hint="default" w:ascii="Times New Roman" w:hAnsi="Times New Roman" w:eastAsia="Times New Roman"/>
          <w:color w:val="auto"/>
          <w:kern w:val="2"/>
          <w:sz w:val="32"/>
          <w:szCs w:val="24"/>
        </w:rPr>
      </w:pPr>
      <w:r>
        <w:rPr>
          <w:rFonts w:hint="eastAsia" w:ascii="仿宋_GB2312" w:hAnsi="仿宋_GB2312" w:eastAsia="仿宋_GB2312"/>
          <w:b/>
          <w:color w:val="auto"/>
          <w:kern w:val="2"/>
          <w:sz w:val="32"/>
          <w:szCs w:val="24"/>
        </w:rPr>
        <w:t>（二）公用经费</w:t>
      </w:r>
      <w:r>
        <w:rPr>
          <w:rFonts w:hint="default" w:ascii="Times New Roman" w:hAnsi="Times New Roman" w:eastAsia="Times New Roman"/>
          <w:b/>
          <w:color w:val="auto"/>
          <w:kern w:val="2"/>
          <w:sz w:val="32"/>
          <w:szCs w:val="24"/>
          <w:u w:val="single"/>
        </w:rPr>
        <w:t>173.82</w:t>
      </w:r>
      <w:r>
        <w:rPr>
          <w:rFonts w:hint="eastAsia" w:ascii="仿宋_GB2312" w:hAnsi="仿宋_GB2312" w:eastAsia="仿宋_GB2312"/>
          <w:b/>
          <w:color w:val="auto"/>
          <w:kern w:val="2"/>
          <w:sz w:val="32"/>
          <w:szCs w:val="24"/>
        </w:rPr>
        <w:t>万元</w:t>
      </w:r>
      <w:r>
        <w:rPr>
          <w:rFonts w:hint="eastAsia" w:ascii="仿宋_GB2312" w:hAnsi="仿宋_GB2312" w:eastAsia="仿宋_GB2312"/>
          <w:color w:val="auto"/>
          <w:kern w:val="2"/>
          <w:sz w:val="32"/>
          <w:szCs w:val="24"/>
        </w:rPr>
        <w:t>。主要包括：办公费</w:t>
      </w:r>
      <w:r>
        <w:rPr>
          <w:rFonts w:hint="eastAsia" w:ascii="仿宋_GB2312" w:hAnsi="仿宋_GB2312" w:eastAsia="仿宋_GB2312"/>
          <w:color w:val="auto"/>
          <w:kern w:val="2"/>
          <w:sz w:val="32"/>
          <w:szCs w:val="24"/>
          <w:lang w:val="en-US" w:eastAsia="zh-CN"/>
        </w:rPr>
        <w:t>17.01万元</w:t>
      </w:r>
      <w:r>
        <w:rPr>
          <w:rFonts w:hint="eastAsia" w:ascii="仿宋_GB2312" w:hAnsi="仿宋_GB2312" w:eastAsia="仿宋_GB2312"/>
          <w:color w:val="auto"/>
          <w:kern w:val="2"/>
          <w:sz w:val="32"/>
          <w:szCs w:val="24"/>
        </w:rPr>
        <w:t>、印刷费</w:t>
      </w:r>
      <w:r>
        <w:rPr>
          <w:rFonts w:hint="eastAsia" w:ascii="仿宋_GB2312" w:hAnsi="仿宋_GB2312" w:eastAsia="仿宋_GB2312"/>
          <w:color w:val="auto"/>
          <w:kern w:val="2"/>
          <w:sz w:val="32"/>
          <w:szCs w:val="24"/>
          <w:lang w:val="en-US" w:eastAsia="zh-CN"/>
        </w:rPr>
        <w:t>2万元</w:t>
      </w:r>
      <w:r>
        <w:rPr>
          <w:rFonts w:hint="eastAsia" w:ascii="仿宋_GB2312" w:hAnsi="仿宋_GB2312" w:eastAsia="仿宋_GB2312"/>
          <w:color w:val="auto"/>
          <w:kern w:val="2"/>
          <w:sz w:val="32"/>
          <w:szCs w:val="24"/>
        </w:rPr>
        <w:t>、水费</w:t>
      </w:r>
      <w:r>
        <w:rPr>
          <w:rFonts w:hint="eastAsia" w:ascii="仿宋_GB2312" w:hAnsi="仿宋_GB2312" w:eastAsia="仿宋_GB2312"/>
          <w:color w:val="auto"/>
          <w:kern w:val="2"/>
          <w:sz w:val="32"/>
          <w:szCs w:val="24"/>
          <w:lang w:val="en-US" w:eastAsia="zh-CN"/>
        </w:rPr>
        <w:t>2.05万元</w:t>
      </w:r>
      <w:r>
        <w:rPr>
          <w:rFonts w:hint="eastAsia" w:ascii="仿宋_GB2312" w:hAnsi="仿宋_GB2312" w:eastAsia="仿宋_GB2312"/>
          <w:color w:val="auto"/>
          <w:kern w:val="2"/>
          <w:sz w:val="32"/>
          <w:szCs w:val="24"/>
        </w:rPr>
        <w:t>、电费</w:t>
      </w:r>
      <w:r>
        <w:rPr>
          <w:rFonts w:hint="eastAsia" w:ascii="仿宋_GB2312" w:hAnsi="仿宋_GB2312" w:eastAsia="仿宋_GB2312"/>
          <w:color w:val="auto"/>
          <w:kern w:val="2"/>
          <w:sz w:val="32"/>
          <w:szCs w:val="24"/>
          <w:lang w:val="en-US" w:eastAsia="zh-CN"/>
        </w:rPr>
        <w:t>5.71万元</w:t>
      </w:r>
      <w:r>
        <w:rPr>
          <w:rFonts w:hint="eastAsia" w:ascii="仿宋_GB2312" w:hAnsi="仿宋_GB2312" w:eastAsia="仿宋_GB2312"/>
          <w:color w:val="auto"/>
          <w:kern w:val="2"/>
          <w:sz w:val="32"/>
          <w:szCs w:val="24"/>
        </w:rPr>
        <w:t>、邮电费</w:t>
      </w:r>
      <w:r>
        <w:rPr>
          <w:rFonts w:hint="eastAsia" w:ascii="仿宋_GB2312" w:hAnsi="仿宋_GB2312" w:eastAsia="仿宋_GB2312"/>
          <w:color w:val="auto"/>
          <w:kern w:val="2"/>
          <w:sz w:val="32"/>
          <w:szCs w:val="24"/>
          <w:lang w:val="en-US" w:eastAsia="zh-CN"/>
        </w:rPr>
        <w:t>4.6万元</w:t>
      </w:r>
      <w:r>
        <w:rPr>
          <w:rFonts w:hint="eastAsia" w:ascii="仿宋_GB2312" w:hAnsi="仿宋_GB2312" w:eastAsia="仿宋_GB2312"/>
          <w:color w:val="auto"/>
          <w:kern w:val="2"/>
          <w:sz w:val="32"/>
          <w:szCs w:val="24"/>
        </w:rPr>
        <w:t>、物业管理费</w:t>
      </w:r>
      <w:r>
        <w:rPr>
          <w:rFonts w:hint="eastAsia" w:ascii="仿宋_GB2312" w:hAnsi="仿宋_GB2312" w:eastAsia="仿宋_GB2312"/>
          <w:color w:val="auto"/>
          <w:kern w:val="2"/>
          <w:sz w:val="32"/>
          <w:szCs w:val="24"/>
          <w:lang w:val="en-US" w:eastAsia="zh-CN"/>
        </w:rPr>
        <w:t>44.05万元</w:t>
      </w:r>
      <w:r>
        <w:rPr>
          <w:rFonts w:hint="eastAsia" w:ascii="仿宋_GB2312" w:hAnsi="仿宋_GB2312" w:eastAsia="仿宋_GB2312"/>
          <w:color w:val="auto"/>
          <w:kern w:val="2"/>
          <w:sz w:val="32"/>
          <w:szCs w:val="24"/>
        </w:rPr>
        <w:t>、维修（护）费</w:t>
      </w:r>
      <w:r>
        <w:rPr>
          <w:rFonts w:hint="eastAsia" w:ascii="仿宋_GB2312" w:hAnsi="仿宋_GB2312" w:eastAsia="仿宋_GB2312"/>
          <w:color w:val="auto"/>
          <w:kern w:val="2"/>
          <w:sz w:val="32"/>
          <w:szCs w:val="24"/>
          <w:lang w:val="en-US" w:eastAsia="zh-CN"/>
        </w:rPr>
        <w:t>3.28万元</w:t>
      </w:r>
      <w:r>
        <w:rPr>
          <w:rFonts w:hint="eastAsia" w:ascii="仿宋_GB2312" w:hAnsi="仿宋_GB2312" w:eastAsia="仿宋_GB2312"/>
          <w:color w:val="auto"/>
          <w:kern w:val="2"/>
          <w:sz w:val="32"/>
          <w:szCs w:val="24"/>
        </w:rPr>
        <w:t>、公务接待费</w:t>
      </w:r>
      <w:r>
        <w:rPr>
          <w:rFonts w:hint="eastAsia" w:ascii="仿宋_GB2312" w:hAnsi="仿宋_GB2312" w:eastAsia="仿宋_GB2312"/>
          <w:color w:val="auto"/>
          <w:kern w:val="2"/>
          <w:sz w:val="32"/>
          <w:szCs w:val="24"/>
          <w:lang w:val="en-US" w:eastAsia="zh-CN"/>
        </w:rPr>
        <w:t>1.2万元</w:t>
      </w:r>
      <w:r>
        <w:rPr>
          <w:rFonts w:hint="eastAsia" w:ascii="仿宋_GB2312" w:hAnsi="仿宋_GB2312" w:eastAsia="仿宋_GB2312"/>
          <w:color w:val="auto"/>
          <w:kern w:val="2"/>
          <w:sz w:val="32"/>
          <w:szCs w:val="24"/>
        </w:rPr>
        <w:t>、劳务费</w:t>
      </w:r>
      <w:r>
        <w:rPr>
          <w:rFonts w:hint="eastAsia" w:ascii="仿宋_GB2312" w:hAnsi="仿宋_GB2312" w:eastAsia="仿宋_GB2312"/>
          <w:color w:val="auto"/>
          <w:kern w:val="2"/>
          <w:sz w:val="32"/>
          <w:szCs w:val="24"/>
          <w:lang w:val="en-US" w:eastAsia="zh-CN"/>
        </w:rPr>
        <w:t>1.9万元</w:t>
      </w:r>
      <w:r>
        <w:rPr>
          <w:rFonts w:hint="eastAsia" w:ascii="仿宋_GB2312" w:hAnsi="仿宋_GB2312" w:eastAsia="仿宋_GB2312"/>
          <w:color w:val="auto"/>
          <w:kern w:val="2"/>
          <w:sz w:val="32"/>
          <w:szCs w:val="24"/>
        </w:rPr>
        <w:t>、工会经费</w:t>
      </w:r>
      <w:r>
        <w:rPr>
          <w:rFonts w:hint="eastAsia" w:ascii="仿宋_GB2312" w:hAnsi="仿宋_GB2312" w:eastAsia="仿宋_GB2312"/>
          <w:color w:val="auto"/>
          <w:kern w:val="2"/>
          <w:sz w:val="32"/>
          <w:szCs w:val="24"/>
          <w:lang w:val="en-US" w:eastAsia="zh-CN"/>
        </w:rPr>
        <w:t>13.06万元</w:t>
      </w:r>
      <w:r>
        <w:rPr>
          <w:rFonts w:hint="eastAsia" w:ascii="仿宋_GB2312" w:hAnsi="仿宋_GB2312" w:eastAsia="仿宋_GB2312"/>
          <w:color w:val="auto"/>
          <w:kern w:val="2"/>
          <w:sz w:val="32"/>
          <w:szCs w:val="24"/>
        </w:rPr>
        <w:t>、公务用车运行维护费</w:t>
      </w:r>
      <w:r>
        <w:rPr>
          <w:rFonts w:hint="eastAsia" w:ascii="仿宋_GB2312" w:hAnsi="仿宋_GB2312" w:eastAsia="仿宋_GB2312"/>
          <w:color w:val="auto"/>
          <w:kern w:val="2"/>
          <w:sz w:val="32"/>
          <w:szCs w:val="24"/>
          <w:lang w:val="en-US" w:eastAsia="zh-CN"/>
        </w:rPr>
        <w:t>1.28万元</w:t>
      </w:r>
      <w:r>
        <w:rPr>
          <w:rFonts w:hint="eastAsia" w:ascii="仿宋_GB2312" w:hAnsi="仿宋_GB2312" w:eastAsia="仿宋_GB2312"/>
          <w:color w:val="auto"/>
          <w:kern w:val="2"/>
          <w:sz w:val="32"/>
          <w:szCs w:val="24"/>
        </w:rPr>
        <w:t>、其他交通费用</w:t>
      </w:r>
      <w:r>
        <w:rPr>
          <w:rFonts w:hint="eastAsia" w:ascii="仿宋_GB2312" w:hAnsi="仿宋_GB2312" w:eastAsia="仿宋_GB2312"/>
          <w:color w:val="auto"/>
          <w:kern w:val="2"/>
          <w:sz w:val="32"/>
          <w:szCs w:val="24"/>
          <w:lang w:val="en-US" w:eastAsia="zh-CN"/>
        </w:rPr>
        <w:t>64.50万元</w:t>
      </w:r>
      <w:r>
        <w:rPr>
          <w:rFonts w:hint="eastAsia" w:ascii="仿宋_GB2312" w:hAnsi="仿宋_GB2312" w:eastAsia="仿宋_GB2312"/>
          <w:color w:val="auto"/>
          <w:kern w:val="2"/>
          <w:sz w:val="32"/>
          <w:szCs w:val="24"/>
        </w:rPr>
        <w:t>、其他商品和服务支出</w:t>
      </w:r>
      <w:r>
        <w:rPr>
          <w:rFonts w:hint="eastAsia" w:ascii="仿宋_GB2312" w:hAnsi="仿宋_GB2312" w:eastAsia="仿宋_GB2312"/>
          <w:color w:val="auto"/>
          <w:kern w:val="2"/>
          <w:sz w:val="32"/>
          <w:szCs w:val="24"/>
          <w:lang w:val="en-US" w:eastAsia="zh-CN"/>
        </w:rPr>
        <w:t>7.58万元</w:t>
      </w:r>
      <w:r>
        <w:rPr>
          <w:rFonts w:hint="eastAsia" w:ascii="仿宋_GB2312" w:hAnsi="仿宋_GB2312" w:eastAsia="仿宋_GB2312"/>
          <w:color w:val="auto"/>
          <w:kern w:val="2"/>
          <w:sz w:val="32"/>
          <w:szCs w:val="24"/>
        </w:rPr>
        <w:t>、办公设备购置</w:t>
      </w:r>
      <w:r>
        <w:rPr>
          <w:rFonts w:hint="eastAsia" w:ascii="仿宋_GB2312" w:hAnsi="仿宋_GB2312" w:eastAsia="仿宋_GB2312"/>
          <w:color w:val="auto"/>
          <w:kern w:val="2"/>
          <w:sz w:val="32"/>
          <w:szCs w:val="24"/>
          <w:lang w:val="en-US" w:eastAsia="zh-CN"/>
        </w:rPr>
        <w:t>1.22万元</w:t>
      </w:r>
      <w:r>
        <w:rPr>
          <w:rFonts w:hint="eastAsia" w:ascii="仿宋_GB2312" w:hAnsi="仿宋_GB2312" w:eastAsia="仿宋_GB2312"/>
          <w:color w:val="auto"/>
          <w:kern w:val="2"/>
          <w:sz w:val="32"/>
          <w:szCs w:val="24"/>
        </w:rPr>
        <w:t>。</w:t>
      </w:r>
    </w:p>
    <w:p>
      <w:pPr>
        <w:spacing w:beforeLines="0" w:afterLines="0" w:line="600" w:lineRule="exact"/>
        <w:ind w:firstLine="643"/>
        <w:jc w:val="both"/>
        <w:rPr>
          <w:rFonts w:hint="default" w:ascii="Times New Roman" w:hAnsi="Times New Roman" w:eastAsia="Times New Roman"/>
          <w:b/>
          <w:color w:val="FF0000"/>
          <w:kern w:val="2"/>
          <w:sz w:val="32"/>
          <w:szCs w:val="24"/>
        </w:rPr>
      </w:pPr>
      <w:r>
        <w:rPr>
          <w:rFonts w:hint="eastAsia" w:ascii="黑体" w:hAnsi="黑体" w:eastAsia="黑体"/>
          <w:b/>
          <w:color w:val="000000"/>
          <w:kern w:val="2"/>
          <w:sz w:val="32"/>
          <w:szCs w:val="24"/>
        </w:rPr>
        <w:t>七、一般公共预算项目支出决算情况说明</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内蒙古自治区巴彦淖尔市财政局部门2022年度一般公共预算财政拨款项目支出决算</w:t>
      </w:r>
      <w:r>
        <w:rPr>
          <w:rFonts w:hint="default" w:ascii="Times New Roman" w:hAnsi="Times New Roman" w:eastAsia="Times New Roman"/>
          <w:color w:val="auto"/>
          <w:kern w:val="2"/>
          <w:sz w:val="32"/>
          <w:szCs w:val="24"/>
          <w:u w:val="single"/>
        </w:rPr>
        <w:t>785.12</w:t>
      </w:r>
      <w:r>
        <w:rPr>
          <w:rFonts w:hint="eastAsia" w:ascii="仿宋_GB2312" w:hAnsi="仿宋_GB2312" w:eastAsia="仿宋_GB2312"/>
          <w:color w:val="auto"/>
          <w:kern w:val="2"/>
          <w:sz w:val="32"/>
          <w:szCs w:val="24"/>
        </w:rPr>
        <w:t>万元，其中：</w:t>
      </w:r>
    </w:p>
    <w:p>
      <w:pPr>
        <w:spacing w:beforeLines="0" w:afterLines="0" w:line="560" w:lineRule="exact"/>
        <w:ind w:firstLine="643"/>
        <w:jc w:val="both"/>
        <w:rPr>
          <w:rFonts w:hint="default" w:ascii="Times New Roman" w:hAnsi="Times New Roman" w:eastAsia="Times New Roman"/>
          <w:b/>
          <w:color w:val="000000"/>
          <w:kern w:val="2"/>
          <w:sz w:val="32"/>
          <w:szCs w:val="24"/>
        </w:rPr>
      </w:pPr>
      <w:r>
        <w:rPr>
          <w:rFonts w:hint="eastAsia" w:ascii="仿宋_GB2312" w:hAnsi="仿宋_GB2312" w:eastAsia="仿宋_GB2312"/>
          <w:b/>
          <w:color w:val="000000"/>
          <w:kern w:val="2"/>
          <w:sz w:val="32"/>
          <w:szCs w:val="24"/>
        </w:rPr>
        <w:t>（一）工资福利支出</w:t>
      </w:r>
      <w:r>
        <w:rPr>
          <w:rFonts w:hint="default" w:ascii="Times New Roman" w:hAnsi="Times New Roman" w:eastAsia="Times New Roman"/>
          <w:b/>
          <w:color w:val="000000"/>
          <w:kern w:val="2"/>
          <w:sz w:val="32"/>
          <w:szCs w:val="24"/>
          <w:u w:val="single"/>
        </w:rPr>
        <w:t>0</w:t>
      </w:r>
      <w:r>
        <w:rPr>
          <w:rFonts w:hint="eastAsia" w:ascii="仿宋_GB2312" w:hAnsi="仿宋_GB2312" w:eastAsia="仿宋_GB2312"/>
          <w:b/>
          <w:color w:val="000000"/>
          <w:kern w:val="2"/>
          <w:sz w:val="32"/>
          <w:szCs w:val="24"/>
        </w:rPr>
        <w:t>万元</w:t>
      </w:r>
      <w:r>
        <w:rPr>
          <w:rFonts w:hint="eastAsia" w:ascii="仿宋_GB2312" w:hAnsi="仿宋_GB2312" w:eastAsia="仿宋_GB2312"/>
          <w:color w:val="000000"/>
          <w:kern w:val="2"/>
          <w:sz w:val="32"/>
          <w:szCs w:val="24"/>
        </w:rPr>
        <w:t>。主要包括：基本工资、津贴补贴、奖金、伙食补助费、绩效工资、机关事业单位基本养老保险缴费、职业年金缴费、职工基本医疗保险缴费、公务员医疗补助缴费、其他社会保障缴费、住房公积金、医疗费、其他工资福利支出等。</w:t>
      </w:r>
    </w:p>
    <w:p>
      <w:pPr>
        <w:spacing w:beforeLines="0" w:afterLines="0" w:line="560" w:lineRule="exact"/>
        <w:ind w:firstLine="643"/>
        <w:jc w:val="both"/>
        <w:rPr>
          <w:rFonts w:hint="default" w:ascii="Times New Roman" w:hAnsi="Times New Roman" w:eastAsia="Times New Roman"/>
          <w:color w:val="000000"/>
          <w:kern w:val="2"/>
          <w:sz w:val="32"/>
          <w:szCs w:val="24"/>
        </w:rPr>
      </w:pPr>
      <w:r>
        <w:rPr>
          <w:rFonts w:hint="eastAsia" w:ascii="仿宋_GB2312" w:hAnsi="仿宋_GB2312" w:eastAsia="仿宋_GB2312"/>
          <w:b/>
          <w:color w:val="000000"/>
          <w:kern w:val="2"/>
          <w:sz w:val="32"/>
          <w:szCs w:val="24"/>
        </w:rPr>
        <w:t>（二）商品和服务支出</w:t>
      </w:r>
      <w:r>
        <w:rPr>
          <w:rFonts w:hint="default" w:ascii="Times New Roman" w:hAnsi="Times New Roman" w:eastAsia="Times New Roman"/>
          <w:b/>
          <w:color w:val="000000"/>
          <w:kern w:val="2"/>
          <w:sz w:val="32"/>
          <w:szCs w:val="24"/>
          <w:u w:val="single"/>
        </w:rPr>
        <w:t>647.09</w:t>
      </w:r>
      <w:r>
        <w:rPr>
          <w:rFonts w:hint="eastAsia" w:ascii="仿宋_GB2312" w:hAnsi="仿宋_GB2312" w:eastAsia="仿宋_GB2312"/>
          <w:b/>
          <w:color w:val="000000"/>
          <w:kern w:val="2"/>
          <w:sz w:val="32"/>
          <w:szCs w:val="24"/>
        </w:rPr>
        <w:t>万元</w:t>
      </w:r>
      <w:r>
        <w:rPr>
          <w:rFonts w:hint="eastAsia" w:ascii="仿宋_GB2312" w:hAnsi="仿宋_GB2312" w:eastAsia="仿宋_GB2312"/>
          <w:color w:val="000000"/>
          <w:kern w:val="2"/>
          <w:sz w:val="32"/>
          <w:szCs w:val="24"/>
        </w:rPr>
        <w:t>。主要包括：办公费</w:t>
      </w:r>
      <w:r>
        <w:rPr>
          <w:rFonts w:hint="eastAsia" w:ascii="仿宋_GB2312" w:hAnsi="仿宋_GB2312" w:eastAsia="仿宋_GB2312"/>
          <w:color w:val="000000"/>
          <w:kern w:val="2"/>
          <w:sz w:val="32"/>
          <w:szCs w:val="24"/>
          <w:lang w:val="en-US" w:eastAsia="zh-CN"/>
        </w:rPr>
        <w:t>46.48万元</w:t>
      </w:r>
      <w:r>
        <w:rPr>
          <w:rFonts w:hint="eastAsia" w:ascii="仿宋_GB2312" w:hAnsi="仿宋_GB2312" w:eastAsia="仿宋_GB2312"/>
          <w:color w:val="000000"/>
          <w:kern w:val="2"/>
          <w:sz w:val="32"/>
          <w:szCs w:val="24"/>
        </w:rPr>
        <w:t>、印刷费</w:t>
      </w:r>
      <w:r>
        <w:rPr>
          <w:rFonts w:hint="eastAsia" w:ascii="仿宋_GB2312" w:hAnsi="仿宋_GB2312" w:eastAsia="仿宋_GB2312"/>
          <w:color w:val="000000"/>
          <w:kern w:val="2"/>
          <w:sz w:val="32"/>
          <w:szCs w:val="24"/>
          <w:lang w:val="en-US" w:eastAsia="zh-CN"/>
        </w:rPr>
        <w:t>11.27万元</w:t>
      </w:r>
      <w:r>
        <w:rPr>
          <w:rFonts w:hint="eastAsia" w:ascii="仿宋_GB2312" w:hAnsi="仿宋_GB2312" w:eastAsia="仿宋_GB2312"/>
          <w:color w:val="000000"/>
          <w:kern w:val="2"/>
          <w:sz w:val="32"/>
          <w:szCs w:val="24"/>
        </w:rPr>
        <w:t>、咨询费</w:t>
      </w:r>
      <w:r>
        <w:rPr>
          <w:rFonts w:hint="eastAsia" w:ascii="仿宋_GB2312" w:hAnsi="仿宋_GB2312" w:eastAsia="仿宋_GB2312"/>
          <w:color w:val="000000"/>
          <w:kern w:val="2"/>
          <w:sz w:val="32"/>
          <w:szCs w:val="24"/>
          <w:lang w:val="en-US" w:eastAsia="zh-CN"/>
        </w:rPr>
        <w:t>26万元</w:t>
      </w:r>
      <w:r>
        <w:rPr>
          <w:rFonts w:hint="eastAsia" w:ascii="仿宋_GB2312" w:hAnsi="仿宋_GB2312" w:eastAsia="仿宋_GB2312"/>
          <w:color w:val="000000"/>
          <w:kern w:val="2"/>
          <w:sz w:val="32"/>
          <w:szCs w:val="24"/>
        </w:rPr>
        <w:t>、水费</w:t>
      </w:r>
      <w:r>
        <w:rPr>
          <w:rFonts w:hint="eastAsia" w:ascii="仿宋_GB2312" w:hAnsi="仿宋_GB2312" w:eastAsia="仿宋_GB2312"/>
          <w:color w:val="000000"/>
          <w:kern w:val="2"/>
          <w:sz w:val="32"/>
          <w:szCs w:val="24"/>
          <w:lang w:val="en-US" w:eastAsia="zh-CN"/>
        </w:rPr>
        <w:t>0.29万元</w:t>
      </w:r>
      <w:r>
        <w:rPr>
          <w:rFonts w:hint="eastAsia" w:ascii="仿宋_GB2312" w:hAnsi="仿宋_GB2312" w:eastAsia="仿宋_GB2312"/>
          <w:color w:val="000000"/>
          <w:kern w:val="2"/>
          <w:sz w:val="32"/>
          <w:szCs w:val="24"/>
        </w:rPr>
        <w:t>、电费</w:t>
      </w:r>
      <w:r>
        <w:rPr>
          <w:rFonts w:hint="eastAsia" w:ascii="仿宋_GB2312" w:hAnsi="仿宋_GB2312" w:eastAsia="仿宋_GB2312"/>
          <w:color w:val="000000"/>
          <w:kern w:val="2"/>
          <w:sz w:val="32"/>
          <w:szCs w:val="24"/>
          <w:lang w:val="en-US" w:eastAsia="zh-CN"/>
        </w:rPr>
        <w:t>22.28万元</w:t>
      </w:r>
      <w:r>
        <w:rPr>
          <w:rFonts w:hint="eastAsia" w:ascii="仿宋_GB2312" w:hAnsi="仿宋_GB2312" w:eastAsia="仿宋_GB2312"/>
          <w:color w:val="000000"/>
          <w:kern w:val="2"/>
          <w:sz w:val="32"/>
          <w:szCs w:val="24"/>
        </w:rPr>
        <w:t>、取暖费</w:t>
      </w:r>
      <w:r>
        <w:rPr>
          <w:rFonts w:hint="eastAsia" w:ascii="仿宋_GB2312" w:hAnsi="仿宋_GB2312" w:eastAsia="仿宋_GB2312"/>
          <w:color w:val="000000"/>
          <w:kern w:val="2"/>
          <w:sz w:val="32"/>
          <w:szCs w:val="24"/>
          <w:lang w:val="en-US" w:eastAsia="zh-CN"/>
        </w:rPr>
        <w:t>51.45万元</w:t>
      </w:r>
      <w:r>
        <w:rPr>
          <w:rFonts w:hint="eastAsia" w:ascii="仿宋_GB2312" w:hAnsi="仿宋_GB2312" w:eastAsia="仿宋_GB2312"/>
          <w:color w:val="000000"/>
          <w:kern w:val="2"/>
          <w:sz w:val="32"/>
          <w:szCs w:val="24"/>
        </w:rPr>
        <w:t>、物业管理费</w:t>
      </w:r>
      <w:r>
        <w:rPr>
          <w:rFonts w:hint="eastAsia" w:ascii="仿宋_GB2312" w:hAnsi="仿宋_GB2312" w:eastAsia="仿宋_GB2312"/>
          <w:color w:val="000000"/>
          <w:kern w:val="2"/>
          <w:sz w:val="32"/>
          <w:szCs w:val="24"/>
          <w:lang w:val="en-US" w:eastAsia="zh-CN"/>
        </w:rPr>
        <w:t>26.85万元</w:t>
      </w:r>
      <w:r>
        <w:rPr>
          <w:rFonts w:hint="eastAsia" w:ascii="仿宋_GB2312" w:hAnsi="仿宋_GB2312" w:eastAsia="仿宋_GB2312"/>
          <w:color w:val="000000"/>
          <w:kern w:val="2"/>
          <w:sz w:val="32"/>
          <w:szCs w:val="24"/>
        </w:rPr>
        <w:t>、差旅费</w:t>
      </w:r>
      <w:r>
        <w:rPr>
          <w:rFonts w:hint="eastAsia" w:ascii="仿宋_GB2312" w:hAnsi="仿宋_GB2312" w:eastAsia="仿宋_GB2312"/>
          <w:color w:val="000000"/>
          <w:kern w:val="2"/>
          <w:sz w:val="32"/>
          <w:szCs w:val="24"/>
          <w:lang w:val="en-US" w:eastAsia="zh-CN"/>
        </w:rPr>
        <w:t>23.28万元</w:t>
      </w:r>
      <w:r>
        <w:rPr>
          <w:rFonts w:hint="eastAsia" w:ascii="仿宋_GB2312" w:hAnsi="仿宋_GB2312" w:eastAsia="仿宋_GB2312"/>
          <w:color w:val="000000"/>
          <w:kern w:val="2"/>
          <w:sz w:val="32"/>
          <w:szCs w:val="24"/>
        </w:rPr>
        <w:t>、因公出国（境）费用</w:t>
      </w:r>
      <w:r>
        <w:rPr>
          <w:rFonts w:hint="eastAsia" w:ascii="仿宋_GB2312" w:hAnsi="仿宋_GB2312" w:eastAsia="仿宋_GB2312"/>
          <w:color w:val="000000"/>
          <w:kern w:val="2"/>
          <w:sz w:val="32"/>
          <w:szCs w:val="24"/>
          <w:lang w:val="en-US" w:eastAsia="zh-CN"/>
        </w:rPr>
        <w:t>0万元</w:t>
      </w:r>
      <w:r>
        <w:rPr>
          <w:rFonts w:hint="eastAsia" w:ascii="仿宋_GB2312" w:hAnsi="仿宋_GB2312" w:eastAsia="仿宋_GB2312"/>
          <w:color w:val="000000"/>
          <w:kern w:val="2"/>
          <w:sz w:val="32"/>
          <w:szCs w:val="24"/>
        </w:rPr>
        <w:t>、维修（护）费</w:t>
      </w:r>
      <w:r>
        <w:rPr>
          <w:rFonts w:hint="eastAsia" w:ascii="仿宋_GB2312" w:hAnsi="仿宋_GB2312" w:eastAsia="仿宋_GB2312"/>
          <w:color w:val="000000"/>
          <w:kern w:val="2"/>
          <w:sz w:val="32"/>
          <w:szCs w:val="24"/>
          <w:lang w:val="en-US" w:eastAsia="zh-CN"/>
        </w:rPr>
        <w:t>174.20万元</w:t>
      </w:r>
      <w:r>
        <w:rPr>
          <w:rFonts w:hint="eastAsia" w:ascii="仿宋_GB2312" w:hAnsi="仿宋_GB2312" w:eastAsia="仿宋_GB2312"/>
          <w:color w:val="000000"/>
          <w:kern w:val="2"/>
          <w:sz w:val="32"/>
          <w:szCs w:val="24"/>
        </w:rPr>
        <w:t>、租赁费</w:t>
      </w:r>
      <w:r>
        <w:rPr>
          <w:rFonts w:hint="eastAsia" w:ascii="仿宋_GB2312" w:hAnsi="仿宋_GB2312" w:eastAsia="仿宋_GB2312"/>
          <w:color w:val="000000"/>
          <w:kern w:val="2"/>
          <w:sz w:val="32"/>
          <w:szCs w:val="24"/>
          <w:lang w:val="en-US" w:eastAsia="zh-CN"/>
        </w:rPr>
        <w:t>2.09万元</w:t>
      </w:r>
      <w:r>
        <w:rPr>
          <w:rFonts w:hint="eastAsia" w:ascii="仿宋_GB2312" w:hAnsi="仿宋_GB2312" w:eastAsia="仿宋_GB2312"/>
          <w:color w:val="000000"/>
          <w:kern w:val="2"/>
          <w:sz w:val="32"/>
          <w:szCs w:val="24"/>
        </w:rPr>
        <w:t>、会议费</w:t>
      </w:r>
      <w:r>
        <w:rPr>
          <w:rFonts w:hint="eastAsia" w:ascii="仿宋_GB2312" w:hAnsi="仿宋_GB2312" w:eastAsia="仿宋_GB2312"/>
          <w:color w:val="000000"/>
          <w:kern w:val="2"/>
          <w:sz w:val="32"/>
          <w:szCs w:val="24"/>
          <w:lang w:val="en-US" w:eastAsia="zh-CN"/>
        </w:rPr>
        <w:t>0.36万元</w:t>
      </w:r>
      <w:r>
        <w:rPr>
          <w:rFonts w:hint="eastAsia" w:ascii="仿宋_GB2312" w:hAnsi="仿宋_GB2312" w:eastAsia="仿宋_GB2312"/>
          <w:color w:val="000000"/>
          <w:kern w:val="2"/>
          <w:sz w:val="32"/>
          <w:szCs w:val="24"/>
        </w:rPr>
        <w:t>、培训费</w:t>
      </w:r>
      <w:r>
        <w:rPr>
          <w:rFonts w:hint="eastAsia" w:ascii="仿宋_GB2312" w:hAnsi="仿宋_GB2312" w:eastAsia="仿宋_GB2312"/>
          <w:color w:val="000000"/>
          <w:kern w:val="2"/>
          <w:sz w:val="32"/>
          <w:szCs w:val="24"/>
          <w:lang w:val="en-US" w:eastAsia="zh-CN"/>
        </w:rPr>
        <w:t>2.28万元</w:t>
      </w:r>
      <w:r>
        <w:rPr>
          <w:rFonts w:hint="eastAsia" w:ascii="仿宋_GB2312" w:hAnsi="仿宋_GB2312" w:eastAsia="仿宋_GB2312"/>
          <w:color w:val="000000"/>
          <w:kern w:val="2"/>
          <w:sz w:val="32"/>
          <w:szCs w:val="24"/>
        </w:rPr>
        <w:t>、公务接待费</w:t>
      </w:r>
      <w:r>
        <w:rPr>
          <w:rFonts w:hint="eastAsia" w:ascii="仿宋_GB2312" w:hAnsi="仿宋_GB2312" w:eastAsia="仿宋_GB2312"/>
          <w:color w:val="000000"/>
          <w:kern w:val="2"/>
          <w:sz w:val="32"/>
          <w:szCs w:val="24"/>
          <w:lang w:val="en-US" w:eastAsia="zh-CN"/>
        </w:rPr>
        <w:t>0万元</w:t>
      </w:r>
      <w:r>
        <w:rPr>
          <w:rFonts w:hint="eastAsia" w:ascii="仿宋_GB2312" w:hAnsi="仿宋_GB2312" w:eastAsia="仿宋_GB2312"/>
          <w:color w:val="000000"/>
          <w:kern w:val="2"/>
          <w:sz w:val="32"/>
          <w:szCs w:val="24"/>
        </w:rPr>
        <w:t>、专用材料费</w:t>
      </w:r>
      <w:r>
        <w:rPr>
          <w:rFonts w:hint="eastAsia" w:ascii="仿宋_GB2312" w:hAnsi="仿宋_GB2312" w:eastAsia="仿宋_GB2312"/>
          <w:color w:val="000000"/>
          <w:kern w:val="2"/>
          <w:sz w:val="32"/>
          <w:szCs w:val="24"/>
          <w:lang w:val="en-US" w:eastAsia="zh-CN"/>
        </w:rPr>
        <w:t>0万元</w:t>
      </w:r>
      <w:r>
        <w:rPr>
          <w:rFonts w:hint="eastAsia" w:ascii="仿宋_GB2312" w:hAnsi="仿宋_GB2312" w:eastAsia="仿宋_GB2312"/>
          <w:color w:val="000000"/>
          <w:kern w:val="2"/>
          <w:sz w:val="32"/>
          <w:szCs w:val="24"/>
        </w:rPr>
        <w:t>、被装购置费</w:t>
      </w:r>
      <w:r>
        <w:rPr>
          <w:rFonts w:hint="eastAsia" w:ascii="仿宋_GB2312" w:hAnsi="仿宋_GB2312" w:eastAsia="仿宋_GB2312"/>
          <w:color w:val="000000"/>
          <w:kern w:val="2"/>
          <w:sz w:val="32"/>
          <w:szCs w:val="24"/>
          <w:lang w:val="en-US" w:eastAsia="zh-CN"/>
        </w:rPr>
        <w:t>0万元</w:t>
      </w:r>
      <w:r>
        <w:rPr>
          <w:rFonts w:hint="eastAsia" w:ascii="仿宋_GB2312" w:hAnsi="仿宋_GB2312" w:eastAsia="仿宋_GB2312"/>
          <w:color w:val="000000"/>
          <w:kern w:val="2"/>
          <w:sz w:val="32"/>
          <w:szCs w:val="24"/>
        </w:rPr>
        <w:t>、专用燃料费</w:t>
      </w:r>
      <w:r>
        <w:rPr>
          <w:rFonts w:hint="eastAsia" w:ascii="仿宋_GB2312" w:hAnsi="仿宋_GB2312" w:eastAsia="仿宋_GB2312"/>
          <w:color w:val="000000"/>
          <w:kern w:val="2"/>
          <w:sz w:val="32"/>
          <w:szCs w:val="24"/>
          <w:lang w:val="en-US" w:eastAsia="zh-CN"/>
        </w:rPr>
        <w:t>0万元</w:t>
      </w:r>
      <w:r>
        <w:rPr>
          <w:rFonts w:hint="eastAsia" w:ascii="仿宋_GB2312" w:hAnsi="仿宋_GB2312" w:eastAsia="仿宋_GB2312"/>
          <w:color w:val="000000"/>
          <w:kern w:val="2"/>
          <w:sz w:val="32"/>
          <w:szCs w:val="24"/>
        </w:rPr>
        <w:t>、劳务费</w:t>
      </w:r>
      <w:r>
        <w:rPr>
          <w:rFonts w:hint="eastAsia" w:ascii="仿宋_GB2312" w:hAnsi="仿宋_GB2312" w:eastAsia="仿宋_GB2312"/>
          <w:color w:val="000000"/>
          <w:kern w:val="2"/>
          <w:sz w:val="32"/>
          <w:szCs w:val="24"/>
          <w:lang w:val="en-US" w:eastAsia="zh-CN"/>
        </w:rPr>
        <w:t>73.79万元</w:t>
      </w:r>
      <w:r>
        <w:rPr>
          <w:rFonts w:hint="eastAsia" w:ascii="仿宋_GB2312" w:hAnsi="仿宋_GB2312" w:eastAsia="仿宋_GB2312"/>
          <w:color w:val="000000"/>
          <w:kern w:val="2"/>
          <w:sz w:val="32"/>
          <w:szCs w:val="24"/>
        </w:rPr>
        <w:t>、委托业务费</w:t>
      </w:r>
      <w:r>
        <w:rPr>
          <w:rFonts w:hint="eastAsia" w:ascii="仿宋_GB2312" w:hAnsi="仿宋_GB2312" w:eastAsia="仿宋_GB2312"/>
          <w:color w:val="000000"/>
          <w:kern w:val="2"/>
          <w:sz w:val="32"/>
          <w:szCs w:val="24"/>
          <w:lang w:val="en-US" w:eastAsia="zh-CN"/>
        </w:rPr>
        <w:t>168.19万元、</w:t>
      </w:r>
      <w:r>
        <w:rPr>
          <w:rFonts w:hint="eastAsia" w:ascii="仿宋_GB2312" w:hAnsi="仿宋_GB2312" w:eastAsia="仿宋_GB2312"/>
          <w:color w:val="000000"/>
          <w:kern w:val="2"/>
          <w:sz w:val="32"/>
          <w:szCs w:val="24"/>
        </w:rPr>
        <w:t>工会经费</w:t>
      </w:r>
      <w:r>
        <w:rPr>
          <w:rFonts w:hint="eastAsia" w:ascii="仿宋_GB2312" w:hAnsi="仿宋_GB2312" w:eastAsia="仿宋_GB2312"/>
          <w:color w:val="000000"/>
          <w:kern w:val="2"/>
          <w:sz w:val="32"/>
          <w:szCs w:val="24"/>
          <w:lang w:val="en-US" w:eastAsia="zh-CN"/>
        </w:rPr>
        <w:t>0万元</w:t>
      </w:r>
      <w:r>
        <w:rPr>
          <w:rFonts w:hint="eastAsia" w:ascii="仿宋_GB2312" w:hAnsi="仿宋_GB2312" w:eastAsia="仿宋_GB2312"/>
          <w:color w:val="000000"/>
          <w:kern w:val="2"/>
          <w:sz w:val="32"/>
          <w:szCs w:val="24"/>
        </w:rPr>
        <w:t>、福利费</w:t>
      </w:r>
      <w:r>
        <w:rPr>
          <w:rFonts w:hint="eastAsia" w:ascii="仿宋_GB2312" w:hAnsi="仿宋_GB2312" w:eastAsia="仿宋_GB2312"/>
          <w:color w:val="000000"/>
          <w:kern w:val="2"/>
          <w:sz w:val="32"/>
          <w:szCs w:val="24"/>
          <w:lang w:val="en-US" w:eastAsia="zh-CN"/>
        </w:rPr>
        <w:t>0万元</w:t>
      </w:r>
      <w:r>
        <w:rPr>
          <w:rFonts w:hint="eastAsia" w:ascii="仿宋_GB2312" w:hAnsi="仿宋_GB2312" w:eastAsia="仿宋_GB2312"/>
          <w:color w:val="000000"/>
          <w:kern w:val="2"/>
          <w:sz w:val="32"/>
          <w:szCs w:val="24"/>
        </w:rPr>
        <w:t>、公务用车运行维护费</w:t>
      </w:r>
      <w:r>
        <w:rPr>
          <w:rFonts w:hint="eastAsia" w:ascii="仿宋_GB2312" w:hAnsi="仿宋_GB2312" w:eastAsia="仿宋_GB2312"/>
          <w:color w:val="000000"/>
          <w:kern w:val="2"/>
          <w:sz w:val="32"/>
          <w:szCs w:val="24"/>
          <w:lang w:val="en-US" w:eastAsia="zh-CN"/>
        </w:rPr>
        <w:t>7.77万元</w:t>
      </w:r>
      <w:r>
        <w:rPr>
          <w:rFonts w:hint="eastAsia" w:ascii="仿宋_GB2312" w:hAnsi="仿宋_GB2312" w:eastAsia="仿宋_GB2312"/>
          <w:color w:val="000000"/>
          <w:kern w:val="2"/>
          <w:sz w:val="32"/>
          <w:szCs w:val="24"/>
        </w:rPr>
        <w:t>、其他交通费用</w:t>
      </w:r>
      <w:r>
        <w:rPr>
          <w:rFonts w:hint="eastAsia" w:ascii="仿宋_GB2312" w:hAnsi="仿宋_GB2312" w:eastAsia="仿宋_GB2312"/>
          <w:color w:val="000000"/>
          <w:kern w:val="2"/>
          <w:sz w:val="32"/>
          <w:szCs w:val="24"/>
          <w:lang w:val="en-US" w:eastAsia="zh-CN"/>
        </w:rPr>
        <w:t>10.51万元</w:t>
      </w:r>
      <w:r>
        <w:rPr>
          <w:rFonts w:hint="eastAsia" w:ascii="仿宋_GB2312" w:hAnsi="仿宋_GB2312" w:eastAsia="仿宋_GB2312"/>
          <w:color w:val="000000"/>
          <w:kern w:val="2"/>
          <w:sz w:val="32"/>
          <w:szCs w:val="24"/>
        </w:rPr>
        <w:t>、税金及附加费用</w:t>
      </w:r>
      <w:r>
        <w:rPr>
          <w:rFonts w:hint="eastAsia" w:ascii="仿宋_GB2312" w:hAnsi="仿宋_GB2312" w:eastAsia="仿宋_GB2312"/>
          <w:color w:val="000000"/>
          <w:kern w:val="2"/>
          <w:sz w:val="32"/>
          <w:szCs w:val="24"/>
          <w:lang w:val="en-US" w:eastAsia="zh-CN"/>
        </w:rPr>
        <w:t>0万元</w:t>
      </w:r>
      <w:r>
        <w:rPr>
          <w:rFonts w:hint="eastAsia" w:ascii="仿宋_GB2312" w:hAnsi="仿宋_GB2312" w:eastAsia="仿宋_GB2312"/>
          <w:color w:val="000000"/>
          <w:kern w:val="2"/>
          <w:sz w:val="32"/>
          <w:szCs w:val="24"/>
        </w:rPr>
        <w:t>、其他商品和服务支出等</w:t>
      </w:r>
      <w:r>
        <w:rPr>
          <w:rFonts w:hint="eastAsia" w:ascii="仿宋_GB2312" w:hAnsi="仿宋_GB2312" w:eastAsia="仿宋_GB2312"/>
          <w:color w:val="000000"/>
          <w:kern w:val="2"/>
          <w:sz w:val="32"/>
          <w:szCs w:val="24"/>
          <w:lang w:val="en-US" w:eastAsia="zh-CN"/>
        </w:rPr>
        <w:t>0万元</w:t>
      </w:r>
      <w:r>
        <w:rPr>
          <w:rFonts w:hint="eastAsia" w:ascii="仿宋_GB2312" w:hAnsi="仿宋_GB2312" w:eastAsia="仿宋_GB2312"/>
          <w:color w:val="000000"/>
          <w:kern w:val="2"/>
          <w:sz w:val="32"/>
          <w:szCs w:val="24"/>
        </w:rPr>
        <w:t>。</w:t>
      </w:r>
    </w:p>
    <w:p>
      <w:pPr>
        <w:spacing w:beforeLines="0" w:afterLines="0" w:line="600" w:lineRule="exact"/>
        <w:ind w:firstLine="643"/>
        <w:jc w:val="both"/>
        <w:rPr>
          <w:rFonts w:hint="default" w:ascii="Times New Roman" w:hAnsi="Times New Roman" w:eastAsia="Times New Roman"/>
          <w:b/>
          <w:color w:val="auto"/>
          <w:kern w:val="2"/>
          <w:sz w:val="32"/>
          <w:szCs w:val="24"/>
        </w:rPr>
      </w:pPr>
      <w:r>
        <w:rPr>
          <w:rFonts w:hint="eastAsia" w:ascii="黑体" w:hAnsi="黑体" w:eastAsia="黑体"/>
          <w:b/>
          <w:color w:val="000000"/>
          <w:kern w:val="2"/>
          <w:sz w:val="32"/>
          <w:szCs w:val="24"/>
        </w:rPr>
        <w:t>八、</w:t>
      </w:r>
      <w:r>
        <w:rPr>
          <w:rFonts w:hint="eastAsia" w:ascii="黑体" w:hAnsi="黑体" w:eastAsia="黑体"/>
          <w:b/>
          <w:color w:val="auto"/>
          <w:kern w:val="2"/>
          <w:sz w:val="32"/>
          <w:szCs w:val="24"/>
        </w:rPr>
        <w:t>财政拨款</w:t>
      </w:r>
      <w:r>
        <w:rPr>
          <w:rFonts w:hint="default" w:ascii="黑体" w:hAnsi="黑体" w:eastAsia="黑体"/>
          <w:b/>
          <w:color w:val="auto"/>
          <w:kern w:val="2"/>
          <w:sz w:val="32"/>
          <w:szCs w:val="24"/>
        </w:rPr>
        <w:t>“</w:t>
      </w:r>
      <w:r>
        <w:rPr>
          <w:rFonts w:hint="eastAsia" w:ascii="黑体" w:hAnsi="黑体" w:eastAsia="黑体"/>
          <w:b/>
          <w:color w:val="auto"/>
          <w:kern w:val="2"/>
          <w:sz w:val="32"/>
          <w:szCs w:val="24"/>
        </w:rPr>
        <w:t>三公</w:t>
      </w:r>
      <w:r>
        <w:rPr>
          <w:rFonts w:hint="default" w:ascii="黑体" w:hAnsi="黑体" w:eastAsia="黑体"/>
          <w:b/>
          <w:color w:val="auto"/>
          <w:kern w:val="2"/>
          <w:sz w:val="32"/>
          <w:szCs w:val="24"/>
        </w:rPr>
        <w:t>”</w:t>
      </w:r>
      <w:r>
        <w:rPr>
          <w:rFonts w:hint="eastAsia" w:ascii="黑体" w:hAnsi="黑体" w:eastAsia="黑体"/>
          <w:b/>
          <w:color w:val="auto"/>
          <w:kern w:val="2"/>
          <w:sz w:val="32"/>
          <w:szCs w:val="24"/>
        </w:rPr>
        <w:t>经费支出决算情况说明</w:t>
      </w:r>
    </w:p>
    <w:p>
      <w:pPr>
        <w:keepNext/>
        <w:keepLines/>
        <w:spacing w:beforeLines="0" w:afterLines="0" w:line="560" w:lineRule="exact"/>
        <w:ind w:firstLine="643"/>
        <w:jc w:val="both"/>
        <w:rPr>
          <w:rFonts w:hint="default" w:ascii="Times New Roman" w:hAnsi="Times New Roman" w:eastAsia="Times New Roman"/>
          <w:b/>
          <w:color w:val="auto"/>
          <w:kern w:val="2"/>
          <w:sz w:val="32"/>
          <w:szCs w:val="24"/>
        </w:rPr>
      </w:pPr>
      <w:r>
        <w:rPr>
          <w:rFonts w:hint="eastAsia" w:ascii="楷体" w:hAnsi="楷体" w:eastAsia="楷体"/>
          <w:b/>
          <w:color w:val="auto"/>
          <w:kern w:val="2"/>
          <w:sz w:val="32"/>
          <w:szCs w:val="24"/>
        </w:rPr>
        <w:t>（一）财政拨款</w:t>
      </w:r>
      <w:r>
        <w:rPr>
          <w:rFonts w:hint="default" w:ascii="楷体" w:hAnsi="楷体" w:eastAsia="楷体"/>
          <w:b/>
          <w:color w:val="auto"/>
          <w:kern w:val="2"/>
          <w:sz w:val="32"/>
          <w:szCs w:val="24"/>
        </w:rPr>
        <w:t>“</w:t>
      </w:r>
      <w:r>
        <w:rPr>
          <w:rFonts w:hint="eastAsia" w:ascii="楷体" w:hAnsi="楷体" w:eastAsia="楷体"/>
          <w:b/>
          <w:color w:val="auto"/>
          <w:kern w:val="2"/>
          <w:sz w:val="32"/>
          <w:szCs w:val="24"/>
        </w:rPr>
        <w:t>三公</w:t>
      </w:r>
      <w:r>
        <w:rPr>
          <w:rFonts w:hint="default" w:ascii="楷体" w:hAnsi="楷体" w:eastAsia="楷体"/>
          <w:b/>
          <w:color w:val="auto"/>
          <w:kern w:val="2"/>
          <w:sz w:val="32"/>
          <w:szCs w:val="24"/>
        </w:rPr>
        <w:t>”</w:t>
      </w:r>
      <w:r>
        <w:rPr>
          <w:rFonts w:hint="eastAsia" w:ascii="楷体" w:hAnsi="楷体" w:eastAsia="楷体"/>
          <w:b/>
          <w:color w:val="auto"/>
          <w:kern w:val="2"/>
          <w:sz w:val="32"/>
          <w:szCs w:val="24"/>
        </w:rPr>
        <w:t>经费支出总体情况说明。</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内蒙古自治区巴彦淖尔市财政局部门</w:t>
      </w:r>
      <w:r>
        <w:rPr>
          <w:rFonts w:hint="default" w:ascii="Times New Roman" w:hAnsi="Times New Roman" w:eastAsia="Times New Roman"/>
          <w:color w:val="auto"/>
          <w:kern w:val="2"/>
          <w:sz w:val="32"/>
          <w:szCs w:val="24"/>
        </w:rPr>
        <w:t xml:space="preserve"> </w:t>
      </w:r>
      <w:r>
        <w:rPr>
          <w:rFonts w:hint="eastAsia" w:ascii="仿宋_GB2312" w:hAnsi="仿宋_GB2312" w:eastAsia="仿宋_GB2312"/>
          <w:color w:val="auto"/>
          <w:kern w:val="2"/>
          <w:sz w:val="32"/>
          <w:szCs w:val="24"/>
        </w:rPr>
        <w:t>2022年度财政拨款</w:t>
      </w:r>
      <w:r>
        <w:rPr>
          <w:rFonts w:hint="default" w:ascii="仿宋_GB2312" w:hAnsi="仿宋_GB2312" w:eastAsia="仿宋_GB2312"/>
          <w:color w:val="auto"/>
          <w:kern w:val="2"/>
          <w:sz w:val="32"/>
          <w:szCs w:val="24"/>
        </w:rPr>
        <w:t>“</w:t>
      </w:r>
      <w:r>
        <w:rPr>
          <w:rFonts w:hint="eastAsia" w:ascii="仿宋_GB2312" w:hAnsi="仿宋_GB2312" w:eastAsia="仿宋_GB2312"/>
          <w:color w:val="auto"/>
          <w:kern w:val="2"/>
          <w:sz w:val="32"/>
          <w:szCs w:val="24"/>
        </w:rPr>
        <w:t>三公</w:t>
      </w:r>
      <w:r>
        <w:rPr>
          <w:rFonts w:hint="default" w:ascii="仿宋_GB2312" w:hAnsi="仿宋_GB2312" w:eastAsia="仿宋_GB2312"/>
          <w:color w:val="auto"/>
          <w:kern w:val="2"/>
          <w:sz w:val="32"/>
          <w:szCs w:val="24"/>
        </w:rPr>
        <w:t>”</w:t>
      </w:r>
      <w:r>
        <w:rPr>
          <w:rFonts w:hint="eastAsia" w:ascii="仿宋_GB2312" w:hAnsi="仿宋_GB2312" w:eastAsia="仿宋_GB2312"/>
          <w:color w:val="auto"/>
          <w:kern w:val="2"/>
          <w:sz w:val="32"/>
          <w:szCs w:val="24"/>
        </w:rPr>
        <w:t>经费预算</w:t>
      </w:r>
      <w:r>
        <w:rPr>
          <w:rFonts w:hint="default" w:ascii="Times New Roman" w:hAnsi="Times New Roman" w:eastAsia="Times New Roman"/>
          <w:color w:val="auto"/>
          <w:kern w:val="2"/>
          <w:sz w:val="32"/>
          <w:szCs w:val="24"/>
          <w:u w:val="single"/>
        </w:rPr>
        <w:t>15.94</w:t>
      </w:r>
      <w:r>
        <w:rPr>
          <w:rFonts w:hint="eastAsia" w:ascii="仿宋_GB2312" w:hAnsi="仿宋_GB2312" w:eastAsia="仿宋_GB2312"/>
          <w:color w:val="auto"/>
          <w:kern w:val="2"/>
          <w:sz w:val="32"/>
          <w:szCs w:val="24"/>
        </w:rPr>
        <w:t>万元，支出决算</w:t>
      </w:r>
      <w:r>
        <w:rPr>
          <w:rFonts w:hint="default" w:ascii="Times New Roman" w:hAnsi="Times New Roman" w:eastAsia="Times New Roman"/>
          <w:color w:val="auto"/>
          <w:kern w:val="2"/>
          <w:sz w:val="32"/>
          <w:szCs w:val="24"/>
          <w:u w:val="single"/>
        </w:rPr>
        <w:t>10.25</w:t>
      </w:r>
      <w:r>
        <w:rPr>
          <w:rFonts w:hint="eastAsia" w:ascii="仿宋_GB2312" w:hAnsi="仿宋_GB2312" w:eastAsia="仿宋_GB2312"/>
          <w:color w:val="auto"/>
          <w:kern w:val="2"/>
          <w:sz w:val="32"/>
          <w:szCs w:val="24"/>
        </w:rPr>
        <w:t>万元，完成预算的</w:t>
      </w:r>
      <w:r>
        <w:rPr>
          <w:rFonts w:hint="default" w:ascii="Times New Roman" w:hAnsi="Times New Roman" w:eastAsia="Times New Roman"/>
          <w:color w:val="auto"/>
          <w:kern w:val="2"/>
          <w:sz w:val="32"/>
          <w:szCs w:val="24"/>
          <w:u w:val="single"/>
        </w:rPr>
        <w:t>64.28</w:t>
      </w:r>
      <w:r>
        <w:rPr>
          <w:rFonts w:hint="eastAsia" w:ascii="仿宋_GB2312" w:hAnsi="仿宋_GB2312" w:eastAsia="仿宋_GB2312"/>
          <w:color w:val="auto"/>
          <w:kern w:val="2"/>
          <w:sz w:val="32"/>
          <w:szCs w:val="24"/>
        </w:rPr>
        <w:t>%。其中：因公出国（境）费预算</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万元，支出决算</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万元，完成预算的</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%；公务用车购置及运行维护费预算</w:t>
      </w:r>
      <w:r>
        <w:rPr>
          <w:rFonts w:hint="default" w:ascii="Times New Roman" w:hAnsi="Times New Roman" w:eastAsia="Times New Roman"/>
          <w:color w:val="auto"/>
          <w:kern w:val="2"/>
          <w:sz w:val="32"/>
          <w:szCs w:val="24"/>
          <w:u w:val="single"/>
        </w:rPr>
        <w:t>14.27</w:t>
      </w:r>
      <w:r>
        <w:rPr>
          <w:rFonts w:hint="eastAsia" w:ascii="仿宋_GB2312" w:hAnsi="仿宋_GB2312" w:eastAsia="仿宋_GB2312"/>
          <w:color w:val="auto"/>
          <w:kern w:val="2"/>
          <w:sz w:val="32"/>
          <w:szCs w:val="24"/>
        </w:rPr>
        <w:t>万元，支出决算</w:t>
      </w:r>
      <w:r>
        <w:rPr>
          <w:rFonts w:hint="default" w:ascii="Times New Roman" w:hAnsi="Times New Roman" w:eastAsia="Times New Roman"/>
          <w:color w:val="auto"/>
          <w:kern w:val="2"/>
          <w:sz w:val="32"/>
          <w:szCs w:val="24"/>
          <w:u w:val="single"/>
        </w:rPr>
        <w:t>9.04</w:t>
      </w:r>
      <w:r>
        <w:rPr>
          <w:rFonts w:hint="eastAsia" w:ascii="仿宋_GB2312" w:hAnsi="仿宋_GB2312" w:eastAsia="仿宋_GB2312"/>
          <w:color w:val="auto"/>
          <w:kern w:val="2"/>
          <w:sz w:val="32"/>
          <w:szCs w:val="24"/>
        </w:rPr>
        <w:t>万元，完成预算的</w:t>
      </w:r>
      <w:r>
        <w:rPr>
          <w:rFonts w:hint="default" w:ascii="Times New Roman" w:hAnsi="Times New Roman" w:eastAsia="Times New Roman"/>
          <w:color w:val="auto"/>
          <w:kern w:val="2"/>
          <w:sz w:val="32"/>
          <w:szCs w:val="24"/>
          <w:u w:val="single"/>
        </w:rPr>
        <w:t>63.36</w:t>
      </w:r>
      <w:r>
        <w:rPr>
          <w:rFonts w:hint="eastAsia" w:ascii="仿宋_GB2312" w:hAnsi="仿宋_GB2312" w:eastAsia="仿宋_GB2312"/>
          <w:color w:val="auto"/>
          <w:kern w:val="2"/>
          <w:sz w:val="32"/>
          <w:szCs w:val="24"/>
        </w:rPr>
        <w:t>%；公务接待费预算</w:t>
      </w:r>
      <w:r>
        <w:rPr>
          <w:rFonts w:hint="default" w:ascii="Times New Roman" w:hAnsi="Times New Roman" w:eastAsia="Times New Roman"/>
          <w:color w:val="auto"/>
          <w:kern w:val="2"/>
          <w:sz w:val="32"/>
          <w:szCs w:val="24"/>
          <w:u w:val="single"/>
        </w:rPr>
        <w:t>1.67</w:t>
      </w:r>
      <w:r>
        <w:rPr>
          <w:rFonts w:hint="eastAsia" w:ascii="仿宋_GB2312" w:hAnsi="仿宋_GB2312" w:eastAsia="仿宋_GB2312"/>
          <w:color w:val="auto"/>
          <w:kern w:val="2"/>
          <w:sz w:val="32"/>
          <w:szCs w:val="24"/>
        </w:rPr>
        <w:t>万元，支出决算</w:t>
      </w:r>
      <w:r>
        <w:rPr>
          <w:rFonts w:hint="default" w:ascii="Times New Roman" w:hAnsi="Times New Roman" w:eastAsia="Times New Roman"/>
          <w:color w:val="auto"/>
          <w:kern w:val="2"/>
          <w:sz w:val="32"/>
          <w:szCs w:val="24"/>
          <w:u w:val="single"/>
        </w:rPr>
        <w:t>1.2</w:t>
      </w:r>
      <w:r>
        <w:rPr>
          <w:rFonts w:hint="eastAsia" w:ascii="仿宋_GB2312" w:hAnsi="仿宋_GB2312" w:eastAsia="仿宋_GB2312"/>
          <w:color w:val="auto"/>
          <w:kern w:val="2"/>
          <w:sz w:val="32"/>
          <w:szCs w:val="24"/>
        </w:rPr>
        <w:t>万元，完成预算的</w:t>
      </w:r>
      <w:r>
        <w:rPr>
          <w:rFonts w:hint="default" w:ascii="Times New Roman" w:hAnsi="Times New Roman" w:eastAsia="Times New Roman"/>
          <w:color w:val="auto"/>
          <w:kern w:val="2"/>
          <w:sz w:val="32"/>
          <w:szCs w:val="24"/>
          <w:u w:val="single"/>
        </w:rPr>
        <w:t>72.13</w:t>
      </w:r>
      <w:r>
        <w:rPr>
          <w:rFonts w:hint="eastAsia" w:ascii="仿宋_GB2312" w:hAnsi="仿宋_GB2312" w:eastAsia="仿宋_GB2312"/>
          <w:color w:val="auto"/>
          <w:kern w:val="2"/>
          <w:sz w:val="32"/>
          <w:szCs w:val="24"/>
        </w:rPr>
        <w:t>%。2022年度财政拨款</w:t>
      </w:r>
      <w:r>
        <w:rPr>
          <w:rFonts w:hint="default" w:ascii="仿宋_GB2312" w:hAnsi="仿宋_GB2312" w:eastAsia="仿宋_GB2312"/>
          <w:color w:val="auto"/>
          <w:kern w:val="2"/>
          <w:sz w:val="32"/>
          <w:szCs w:val="24"/>
        </w:rPr>
        <w:t>“</w:t>
      </w:r>
      <w:r>
        <w:rPr>
          <w:rFonts w:hint="eastAsia" w:ascii="仿宋_GB2312" w:hAnsi="仿宋_GB2312" w:eastAsia="仿宋_GB2312"/>
          <w:color w:val="auto"/>
          <w:kern w:val="2"/>
          <w:sz w:val="32"/>
          <w:szCs w:val="24"/>
        </w:rPr>
        <w:t>三公</w:t>
      </w:r>
      <w:r>
        <w:rPr>
          <w:rFonts w:hint="default" w:ascii="仿宋_GB2312" w:hAnsi="仿宋_GB2312" w:eastAsia="仿宋_GB2312"/>
          <w:color w:val="auto"/>
          <w:kern w:val="2"/>
          <w:sz w:val="32"/>
          <w:szCs w:val="24"/>
        </w:rPr>
        <w:t>”</w:t>
      </w:r>
      <w:r>
        <w:rPr>
          <w:rFonts w:hint="eastAsia" w:ascii="仿宋_GB2312" w:hAnsi="仿宋_GB2312" w:eastAsia="仿宋_GB2312"/>
          <w:color w:val="auto"/>
          <w:kern w:val="2"/>
          <w:sz w:val="32"/>
          <w:szCs w:val="24"/>
        </w:rPr>
        <w:t>经费支出决算与预算差异原因</w:t>
      </w:r>
      <w:r>
        <w:rPr>
          <w:rFonts w:hint="eastAsia" w:ascii="仿宋_GB2312" w:hAnsi="仿宋_GB2312" w:eastAsia="仿宋_GB2312"/>
          <w:color w:val="auto"/>
          <w:kern w:val="2"/>
          <w:sz w:val="32"/>
          <w:szCs w:val="24"/>
          <w:lang w:eastAsia="zh-CN"/>
        </w:rPr>
        <w:t>：</w:t>
      </w:r>
      <w:r>
        <w:rPr>
          <w:rFonts w:hint="eastAsia" w:ascii="仿宋_GB2312" w:hAnsi="仿宋_GB2312" w:eastAsia="仿宋_GB2312"/>
          <w:color w:val="auto"/>
          <w:kern w:val="2"/>
          <w:sz w:val="32"/>
          <w:szCs w:val="24"/>
          <w:lang w:val="en-US" w:eastAsia="zh-CN"/>
        </w:rPr>
        <w:t>2022年因受疫情影响，三公经费中公车运维费及公务接待费支出比年初预算有所减少</w:t>
      </w:r>
      <w:r>
        <w:rPr>
          <w:rFonts w:hint="eastAsia" w:ascii="仿宋_GB2312" w:hAnsi="仿宋_GB2312" w:eastAsia="仿宋_GB2312"/>
          <w:color w:val="auto"/>
          <w:kern w:val="2"/>
          <w:sz w:val="32"/>
          <w:szCs w:val="24"/>
        </w:rPr>
        <w:t>。</w:t>
      </w:r>
    </w:p>
    <w:p>
      <w:pPr>
        <w:keepNext/>
        <w:keepLines/>
        <w:spacing w:beforeLines="0" w:afterLines="0" w:line="560" w:lineRule="exact"/>
        <w:ind w:firstLine="643"/>
        <w:jc w:val="both"/>
        <w:rPr>
          <w:rFonts w:hint="default" w:ascii="Times New Roman" w:hAnsi="Times New Roman" w:eastAsia="Times New Roman"/>
          <w:b/>
          <w:color w:val="auto"/>
          <w:kern w:val="2"/>
          <w:sz w:val="32"/>
          <w:szCs w:val="24"/>
        </w:rPr>
      </w:pPr>
      <w:r>
        <w:rPr>
          <w:rFonts w:hint="eastAsia" w:ascii="楷体" w:hAnsi="楷体" w:eastAsia="楷体"/>
          <w:b/>
          <w:color w:val="auto"/>
          <w:kern w:val="2"/>
          <w:sz w:val="32"/>
          <w:szCs w:val="24"/>
        </w:rPr>
        <w:t>（二）财政拨款</w:t>
      </w:r>
      <w:r>
        <w:rPr>
          <w:rFonts w:hint="default" w:ascii="楷体" w:hAnsi="楷体" w:eastAsia="楷体"/>
          <w:b/>
          <w:color w:val="auto"/>
          <w:kern w:val="2"/>
          <w:sz w:val="32"/>
          <w:szCs w:val="24"/>
        </w:rPr>
        <w:t>“</w:t>
      </w:r>
      <w:r>
        <w:rPr>
          <w:rFonts w:hint="eastAsia" w:ascii="楷体" w:hAnsi="楷体" w:eastAsia="楷体"/>
          <w:b/>
          <w:color w:val="auto"/>
          <w:kern w:val="2"/>
          <w:sz w:val="32"/>
          <w:szCs w:val="24"/>
        </w:rPr>
        <w:t>三公</w:t>
      </w:r>
      <w:r>
        <w:rPr>
          <w:rFonts w:hint="default" w:ascii="楷体" w:hAnsi="楷体" w:eastAsia="楷体"/>
          <w:b/>
          <w:color w:val="auto"/>
          <w:kern w:val="2"/>
          <w:sz w:val="32"/>
          <w:szCs w:val="24"/>
        </w:rPr>
        <w:t>”</w:t>
      </w:r>
      <w:r>
        <w:rPr>
          <w:rFonts w:hint="eastAsia" w:ascii="楷体" w:hAnsi="楷体" w:eastAsia="楷体"/>
          <w:b/>
          <w:color w:val="auto"/>
          <w:kern w:val="2"/>
          <w:sz w:val="32"/>
          <w:szCs w:val="24"/>
        </w:rPr>
        <w:t>经费支出具体情况说明。</w:t>
      </w:r>
    </w:p>
    <w:p>
      <w:pPr>
        <w:keepNext/>
        <w:keepLines/>
        <w:spacing w:beforeLines="0" w:afterLines="0" w:line="560" w:lineRule="exact"/>
        <w:ind w:firstLine="643"/>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内蒙古自治区巴彦淖尔市财政局部门2022年度财政拨款</w:t>
      </w:r>
      <w:r>
        <w:rPr>
          <w:rFonts w:hint="default" w:ascii="仿宋_GB2312" w:hAnsi="仿宋_GB2312" w:eastAsia="仿宋_GB2312"/>
          <w:color w:val="auto"/>
          <w:kern w:val="2"/>
          <w:sz w:val="32"/>
          <w:szCs w:val="24"/>
        </w:rPr>
        <w:t>“</w:t>
      </w:r>
      <w:r>
        <w:rPr>
          <w:rFonts w:hint="eastAsia" w:ascii="仿宋_GB2312" w:hAnsi="仿宋_GB2312" w:eastAsia="仿宋_GB2312"/>
          <w:color w:val="auto"/>
          <w:kern w:val="2"/>
          <w:sz w:val="32"/>
          <w:szCs w:val="24"/>
        </w:rPr>
        <w:t>三公</w:t>
      </w:r>
      <w:r>
        <w:rPr>
          <w:rFonts w:hint="default" w:ascii="仿宋_GB2312" w:hAnsi="仿宋_GB2312" w:eastAsia="仿宋_GB2312"/>
          <w:color w:val="auto"/>
          <w:kern w:val="2"/>
          <w:sz w:val="32"/>
          <w:szCs w:val="24"/>
        </w:rPr>
        <w:t>”</w:t>
      </w:r>
      <w:r>
        <w:rPr>
          <w:rFonts w:hint="eastAsia" w:ascii="仿宋_GB2312" w:hAnsi="仿宋_GB2312" w:eastAsia="仿宋_GB2312"/>
          <w:color w:val="auto"/>
          <w:kern w:val="2"/>
          <w:sz w:val="32"/>
          <w:szCs w:val="24"/>
        </w:rPr>
        <w:t>经费支出</w:t>
      </w:r>
      <w:r>
        <w:rPr>
          <w:rFonts w:hint="default" w:ascii="Times New Roman" w:hAnsi="Times New Roman" w:eastAsia="Times New Roman"/>
          <w:color w:val="auto"/>
          <w:kern w:val="2"/>
          <w:sz w:val="32"/>
          <w:szCs w:val="24"/>
          <w:u w:val="single"/>
        </w:rPr>
        <w:t>10.25</w:t>
      </w:r>
      <w:r>
        <w:rPr>
          <w:rFonts w:hint="eastAsia" w:ascii="仿宋_GB2312" w:hAnsi="仿宋_GB2312" w:eastAsia="仿宋_GB2312"/>
          <w:color w:val="auto"/>
          <w:kern w:val="2"/>
          <w:sz w:val="32"/>
          <w:szCs w:val="24"/>
        </w:rPr>
        <w:t>万元。因公出国（境）费支出</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万元，占</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%；公务用车购置及运行维护费支出</w:t>
      </w:r>
      <w:r>
        <w:rPr>
          <w:rFonts w:hint="default" w:ascii="Times New Roman" w:hAnsi="Times New Roman" w:eastAsia="Times New Roman"/>
          <w:color w:val="auto"/>
          <w:kern w:val="2"/>
          <w:sz w:val="32"/>
          <w:szCs w:val="24"/>
          <w:u w:val="single"/>
        </w:rPr>
        <w:t>9.04</w:t>
      </w:r>
      <w:r>
        <w:rPr>
          <w:rFonts w:hint="eastAsia" w:ascii="仿宋_GB2312" w:hAnsi="仿宋_GB2312" w:eastAsia="仿宋_GB2312"/>
          <w:color w:val="auto"/>
          <w:kern w:val="2"/>
          <w:sz w:val="32"/>
          <w:szCs w:val="24"/>
        </w:rPr>
        <w:t>万元，占</w:t>
      </w:r>
      <w:r>
        <w:rPr>
          <w:rFonts w:hint="default" w:ascii="Times New Roman" w:hAnsi="Times New Roman" w:eastAsia="Times New Roman"/>
          <w:color w:val="auto"/>
          <w:kern w:val="2"/>
          <w:sz w:val="32"/>
          <w:szCs w:val="24"/>
          <w:u w:val="single"/>
        </w:rPr>
        <w:t>88.24</w:t>
      </w:r>
      <w:r>
        <w:rPr>
          <w:rFonts w:hint="eastAsia" w:ascii="仿宋_GB2312" w:hAnsi="仿宋_GB2312" w:eastAsia="仿宋_GB2312"/>
          <w:color w:val="auto"/>
          <w:kern w:val="2"/>
          <w:sz w:val="32"/>
          <w:szCs w:val="24"/>
        </w:rPr>
        <w:t>%；公务接待费支出</w:t>
      </w:r>
      <w:r>
        <w:rPr>
          <w:rFonts w:hint="default" w:ascii="Times New Roman" w:hAnsi="Times New Roman" w:eastAsia="Times New Roman"/>
          <w:color w:val="auto"/>
          <w:kern w:val="2"/>
          <w:sz w:val="32"/>
          <w:szCs w:val="24"/>
          <w:u w:val="single"/>
        </w:rPr>
        <w:t>1.2</w:t>
      </w:r>
      <w:r>
        <w:rPr>
          <w:rFonts w:hint="eastAsia" w:ascii="仿宋_GB2312" w:hAnsi="仿宋_GB2312" w:eastAsia="仿宋_GB2312"/>
          <w:color w:val="auto"/>
          <w:kern w:val="2"/>
          <w:sz w:val="32"/>
          <w:szCs w:val="24"/>
        </w:rPr>
        <w:t>万元，占</w:t>
      </w:r>
      <w:r>
        <w:rPr>
          <w:rFonts w:hint="default" w:ascii="Times New Roman" w:hAnsi="Times New Roman" w:eastAsia="Times New Roman"/>
          <w:color w:val="auto"/>
          <w:kern w:val="2"/>
          <w:sz w:val="32"/>
          <w:szCs w:val="24"/>
          <w:u w:val="single"/>
        </w:rPr>
        <w:t>11.76</w:t>
      </w:r>
      <w:r>
        <w:rPr>
          <w:rFonts w:hint="eastAsia" w:ascii="仿宋_GB2312" w:hAnsi="仿宋_GB2312" w:eastAsia="仿宋_GB2312"/>
          <w:color w:val="auto"/>
          <w:kern w:val="2"/>
          <w:sz w:val="32"/>
          <w:szCs w:val="24"/>
        </w:rPr>
        <w:t>%。其中：</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default" w:ascii="Times New Roman" w:hAnsi="Times New Roman" w:eastAsia="Times New Roman"/>
          <w:color w:val="auto"/>
          <w:kern w:val="2"/>
          <w:sz w:val="32"/>
          <w:szCs w:val="24"/>
        </w:rPr>
        <w:t>1.</w:t>
      </w:r>
      <w:r>
        <w:rPr>
          <w:rFonts w:hint="eastAsia" w:ascii="仿宋_GB2312" w:hAnsi="仿宋_GB2312" w:eastAsia="仿宋_GB2312"/>
          <w:color w:val="auto"/>
          <w:kern w:val="2"/>
          <w:sz w:val="32"/>
          <w:szCs w:val="24"/>
        </w:rPr>
        <w:t>因公出国（境）费支出</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万元，全年出国（境）团组</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个，累计</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人次。与上年决算相比，增加（减少）</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万元，增长（减少）</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%，变动原因：</w:t>
      </w:r>
      <w:r>
        <w:rPr>
          <w:rFonts w:hint="eastAsia" w:ascii="仿宋_GB2312" w:hAnsi="仿宋_GB2312" w:eastAsia="仿宋_GB2312"/>
          <w:color w:val="auto"/>
          <w:kern w:val="2"/>
          <w:sz w:val="32"/>
          <w:szCs w:val="24"/>
          <w:lang w:val="en-US" w:eastAsia="zh-CN"/>
        </w:rPr>
        <w:t>无本项支出</w:t>
      </w:r>
      <w:r>
        <w:rPr>
          <w:rFonts w:hint="eastAsia" w:ascii="仿宋_GB2312" w:hAnsi="仿宋_GB2312" w:eastAsia="仿宋_GB2312"/>
          <w:color w:val="auto"/>
          <w:kern w:val="2"/>
          <w:sz w:val="32"/>
          <w:szCs w:val="24"/>
        </w:rPr>
        <w:t>。</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default" w:ascii="Times New Roman" w:hAnsi="Times New Roman" w:eastAsia="Times New Roman"/>
          <w:color w:val="auto"/>
          <w:kern w:val="2"/>
          <w:sz w:val="32"/>
          <w:szCs w:val="24"/>
        </w:rPr>
        <w:t>2.</w:t>
      </w:r>
      <w:r>
        <w:rPr>
          <w:rFonts w:hint="eastAsia" w:ascii="仿宋_GB2312" w:hAnsi="仿宋_GB2312" w:eastAsia="仿宋_GB2312"/>
          <w:color w:val="auto"/>
          <w:kern w:val="2"/>
          <w:sz w:val="32"/>
          <w:szCs w:val="24"/>
        </w:rPr>
        <w:t>公务用车购置及运行维护费支出</w:t>
      </w:r>
      <w:r>
        <w:rPr>
          <w:rFonts w:hint="default" w:ascii="Times New Roman" w:hAnsi="Times New Roman" w:eastAsia="Times New Roman"/>
          <w:color w:val="auto"/>
          <w:kern w:val="2"/>
          <w:sz w:val="32"/>
          <w:szCs w:val="24"/>
          <w:u w:val="single"/>
        </w:rPr>
        <w:t>9.04</w:t>
      </w:r>
      <w:r>
        <w:rPr>
          <w:rFonts w:hint="eastAsia" w:ascii="仿宋_GB2312" w:hAnsi="仿宋_GB2312" w:eastAsia="仿宋_GB2312"/>
          <w:color w:val="auto"/>
          <w:kern w:val="2"/>
          <w:sz w:val="32"/>
          <w:szCs w:val="24"/>
        </w:rPr>
        <w:t>万元。其中：</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w:t>
      </w:r>
      <w:r>
        <w:rPr>
          <w:rFonts w:hint="default" w:ascii="Times New Roman" w:hAnsi="Times New Roman" w:eastAsia="Times New Roman"/>
          <w:color w:val="auto"/>
          <w:kern w:val="2"/>
          <w:sz w:val="32"/>
          <w:szCs w:val="24"/>
        </w:rPr>
        <w:t>1</w:t>
      </w:r>
      <w:r>
        <w:rPr>
          <w:rFonts w:hint="eastAsia" w:ascii="仿宋_GB2312" w:hAnsi="仿宋_GB2312" w:eastAsia="仿宋_GB2312"/>
          <w:color w:val="auto"/>
          <w:kern w:val="2"/>
          <w:sz w:val="32"/>
          <w:szCs w:val="24"/>
        </w:rPr>
        <w:t>）公务用车购置支出</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万元。本年度使用财政拨款购置公务用车</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辆，开支内容：</w:t>
      </w:r>
      <w:r>
        <w:rPr>
          <w:rFonts w:hint="eastAsia" w:ascii="仿宋_GB2312" w:hAnsi="仿宋_GB2312" w:eastAsia="仿宋_GB2312"/>
          <w:color w:val="auto"/>
          <w:kern w:val="2"/>
          <w:sz w:val="32"/>
          <w:szCs w:val="24"/>
          <w:lang w:val="en-US" w:eastAsia="zh-CN"/>
        </w:rPr>
        <w:t>无本项支出</w:t>
      </w:r>
      <w:r>
        <w:rPr>
          <w:rFonts w:hint="eastAsia" w:ascii="仿宋_GB2312" w:hAnsi="仿宋_GB2312" w:eastAsia="仿宋_GB2312"/>
          <w:color w:val="auto"/>
          <w:kern w:val="2"/>
          <w:sz w:val="32"/>
          <w:szCs w:val="24"/>
        </w:rPr>
        <w:t>。与上年决算相比，增加</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万元，增长</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%，变动原因：</w:t>
      </w:r>
      <w:r>
        <w:rPr>
          <w:rFonts w:hint="eastAsia" w:ascii="仿宋_GB2312" w:hAnsi="仿宋_GB2312" w:eastAsia="仿宋_GB2312"/>
          <w:color w:val="auto"/>
          <w:kern w:val="2"/>
          <w:sz w:val="32"/>
          <w:szCs w:val="24"/>
          <w:lang w:val="en-US" w:eastAsia="zh-CN"/>
        </w:rPr>
        <w:t>无本项内容</w:t>
      </w:r>
      <w:r>
        <w:rPr>
          <w:rFonts w:hint="eastAsia" w:ascii="仿宋_GB2312" w:hAnsi="仿宋_GB2312" w:eastAsia="仿宋_GB2312"/>
          <w:color w:val="auto"/>
          <w:kern w:val="2"/>
          <w:sz w:val="32"/>
          <w:szCs w:val="24"/>
        </w:rPr>
        <w:t>。</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w:t>
      </w:r>
      <w:r>
        <w:rPr>
          <w:rFonts w:hint="default" w:ascii="Times New Roman" w:hAnsi="Times New Roman" w:eastAsia="Times New Roman"/>
          <w:color w:val="auto"/>
          <w:kern w:val="2"/>
          <w:sz w:val="32"/>
          <w:szCs w:val="24"/>
        </w:rPr>
        <w:t>2</w:t>
      </w:r>
      <w:r>
        <w:rPr>
          <w:rFonts w:hint="eastAsia" w:ascii="仿宋_GB2312" w:hAnsi="仿宋_GB2312" w:eastAsia="仿宋_GB2312"/>
          <w:color w:val="auto"/>
          <w:kern w:val="2"/>
          <w:sz w:val="32"/>
          <w:szCs w:val="24"/>
        </w:rPr>
        <w:t>）公务用车运行维护费支出</w:t>
      </w:r>
      <w:r>
        <w:rPr>
          <w:rFonts w:hint="default" w:ascii="Times New Roman" w:hAnsi="Times New Roman" w:eastAsia="Times New Roman"/>
          <w:color w:val="auto"/>
          <w:kern w:val="2"/>
          <w:sz w:val="32"/>
          <w:szCs w:val="24"/>
          <w:u w:val="single"/>
        </w:rPr>
        <w:t>9.04</w:t>
      </w:r>
      <w:r>
        <w:rPr>
          <w:rFonts w:hint="eastAsia" w:ascii="仿宋_GB2312" w:hAnsi="仿宋_GB2312" w:eastAsia="仿宋_GB2312"/>
          <w:color w:val="auto"/>
          <w:kern w:val="2"/>
          <w:sz w:val="32"/>
          <w:szCs w:val="24"/>
        </w:rPr>
        <w:t>万元。公务用车运行维护费主要用于按规定保留的公务用车的燃料费、维修费、过桥过路费、保险费、安全奖励费用等支出。截至</w:t>
      </w:r>
      <w:r>
        <w:rPr>
          <w:rFonts w:hint="default" w:ascii="Times New Roman" w:hAnsi="Times New Roman" w:eastAsia="Times New Roman"/>
          <w:color w:val="auto"/>
          <w:kern w:val="2"/>
          <w:sz w:val="32"/>
          <w:szCs w:val="24"/>
        </w:rPr>
        <w:t>2022</w:t>
      </w:r>
      <w:r>
        <w:rPr>
          <w:rFonts w:hint="eastAsia" w:ascii="仿宋_GB2312" w:hAnsi="仿宋_GB2312" w:eastAsia="仿宋_GB2312"/>
          <w:color w:val="auto"/>
          <w:kern w:val="2"/>
          <w:sz w:val="32"/>
          <w:szCs w:val="24"/>
        </w:rPr>
        <w:t>年</w:t>
      </w:r>
      <w:r>
        <w:rPr>
          <w:rFonts w:hint="default" w:ascii="Times New Roman" w:hAnsi="Times New Roman" w:eastAsia="Times New Roman"/>
          <w:color w:val="auto"/>
          <w:kern w:val="2"/>
          <w:sz w:val="32"/>
          <w:szCs w:val="24"/>
        </w:rPr>
        <w:t>12</w:t>
      </w:r>
      <w:r>
        <w:rPr>
          <w:rFonts w:hint="eastAsia" w:ascii="仿宋_GB2312" w:hAnsi="仿宋_GB2312" w:eastAsia="仿宋_GB2312"/>
          <w:color w:val="auto"/>
          <w:kern w:val="2"/>
          <w:sz w:val="32"/>
          <w:szCs w:val="24"/>
        </w:rPr>
        <w:t>月</w:t>
      </w:r>
      <w:r>
        <w:rPr>
          <w:rFonts w:hint="default" w:ascii="Times New Roman" w:hAnsi="Times New Roman" w:eastAsia="Times New Roman"/>
          <w:color w:val="auto"/>
          <w:kern w:val="2"/>
          <w:sz w:val="32"/>
          <w:szCs w:val="24"/>
        </w:rPr>
        <w:t>31</w:t>
      </w:r>
      <w:r>
        <w:rPr>
          <w:rFonts w:hint="eastAsia" w:ascii="仿宋_GB2312" w:hAnsi="仿宋_GB2312" w:eastAsia="仿宋_GB2312"/>
          <w:color w:val="auto"/>
          <w:kern w:val="2"/>
          <w:sz w:val="32"/>
          <w:szCs w:val="24"/>
        </w:rPr>
        <w:t>日，使用财政拨款开支的公务用车保有量为</w:t>
      </w:r>
      <w:r>
        <w:rPr>
          <w:rFonts w:hint="default" w:ascii="Times New Roman" w:hAnsi="Times New Roman" w:eastAsia="Times New Roman"/>
          <w:color w:val="auto"/>
          <w:kern w:val="2"/>
          <w:sz w:val="32"/>
          <w:szCs w:val="24"/>
          <w:u w:val="single"/>
        </w:rPr>
        <w:t>4</w:t>
      </w:r>
      <w:r>
        <w:rPr>
          <w:rFonts w:hint="eastAsia" w:ascii="仿宋_GB2312" w:hAnsi="仿宋_GB2312" w:eastAsia="仿宋_GB2312"/>
          <w:color w:val="auto"/>
          <w:kern w:val="2"/>
          <w:sz w:val="32"/>
          <w:szCs w:val="24"/>
        </w:rPr>
        <w:t>辆。与上年决算相比，减少</w:t>
      </w:r>
      <w:r>
        <w:rPr>
          <w:rFonts w:hint="default" w:ascii="Times New Roman" w:hAnsi="Times New Roman" w:eastAsia="Times New Roman"/>
          <w:color w:val="auto"/>
          <w:kern w:val="2"/>
          <w:sz w:val="32"/>
          <w:szCs w:val="24"/>
          <w:u w:val="single"/>
        </w:rPr>
        <w:t>-3.38</w:t>
      </w:r>
      <w:r>
        <w:rPr>
          <w:rFonts w:hint="eastAsia" w:ascii="仿宋_GB2312" w:hAnsi="仿宋_GB2312" w:eastAsia="仿宋_GB2312"/>
          <w:color w:val="auto"/>
          <w:kern w:val="2"/>
          <w:sz w:val="32"/>
          <w:szCs w:val="24"/>
        </w:rPr>
        <w:t>万元，减</w:t>
      </w:r>
      <w:r>
        <w:rPr>
          <w:rFonts w:hint="eastAsia" w:ascii="仿宋_GB2312" w:hAnsi="仿宋_GB2312" w:eastAsia="仿宋_GB2312"/>
          <w:color w:val="auto"/>
          <w:kern w:val="2"/>
          <w:sz w:val="32"/>
          <w:szCs w:val="24"/>
          <w:lang w:val="en-US" w:eastAsia="zh-CN"/>
        </w:rPr>
        <w:t>少</w:t>
      </w:r>
      <w:r>
        <w:rPr>
          <w:rFonts w:hint="default" w:ascii="Times New Roman" w:hAnsi="Times New Roman" w:eastAsia="Times New Roman"/>
          <w:color w:val="auto"/>
          <w:kern w:val="2"/>
          <w:sz w:val="32"/>
          <w:szCs w:val="24"/>
          <w:u w:val="single"/>
        </w:rPr>
        <w:t>-27.24</w:t>
      </w:r>
      <w:r>
        <w:rPr>
          <w:rFonts w:hint="eastAsia" w:ascii="仿宋_GB2312" w:hAnsi="仿宋_GB2312" w:eastAsia="仿宋_GB2312"/>
          <w:color w:val="auto"/>
          <w:kern w:val="2"/>
          <w:sz w:val="32"/>
          <w:szCs w:val="24"/>
        </w:rPr>
        <w:t>%，变动原因：</w:t>
      </w:r>
      <w:r>
        <w:rPr>
          <w:rFonts w:hint="eastAsia" w:ascii="仿宋_GB2312" w:hAnsi="仿宋_GB2312" w:eastAsia="仿宋_GB2312"/>
          <w:color w:val="auto"/>
          <w:kern w:val="2"/>
          <w:sz w:val="32"/>
          <w:szCs w:val="24"/>
          <w:lang w:val="en-US" w:eastAsia="zh-CN"/>
        </w:rPr>
        <w:t>2022年因受疫情影响，第三季度几乎全城处于封城状态，因此三公经费中公车运维费支出比年初预算有所减少</w:t>
      </w:r>
      <w:r>
        <w:rPr>
          <w:rFonts w:hint="eastAsia" w:ascii="仿宋_GB2312" w:hAnsi="仿宋_GB2312" w:eastAsia="仿宋_GB2312"/>
          <w:color w:val="auto"/>
          <w:kern w:val="2"/>
          <w:sz w:val="32"/>
          <w:szCs w:val="24"/>
        </w:rPr>
        <w:t>。</w:t>
      </w:r>
    </w:p>
    <w:p>
      <w:pPr>
        <w:spacing w:beforeLines="0" w:afterLines="0" w:line="560" w:lineRule="exact"/>
        <w:ind w:firstLine="640"/>
        <w:jc w:val="both"/>
        <w:rPr>
          <w:rFonts w:hint="default" w:ascii="仿宋_GB2312" w:hAnsi="仿宋_GB2312" w:eastAsia="仿宋_GB2312"/>
          <w:color w:val="auto"/>
          <w:kern w:val="2"/>
          <w:sz w:val="32"/>
          <w:szCs w:val="24"/>
          <w:lang w:val="en-US" w:eastAsia="zh-CN"/>
        </w:rPr>
      </w:pPr>
      <w:r>
        <w:rPr>
          <w:rFonts w:hint="default" w:ascii="Times New Roman" w:hAnsi="Times New Roman" w:eastAsia="Times New Roman"/>
          <w:color w:val="auto"/>
          <w:kern w:val="2"/>
          <w:sz w:val="32"/>
          <w:szCs w:val="24"/>
        </w:rPr>
        <w:t>3.</w:t>
      </w:r>
      <w:r>
        <w:rPr>
          <w:rFonts w:hint="eastAsia" w:ascii="仿宋_GB2312" w:hAnsi="仿宋_GB2312" w:eastAsia="仿宋_GB2312"/>
          <w:color w:val="auto"/>
          <w:kern w:val="2"/>
          <w:sz w:val="32"/>
          <w:szCs w:val="24"/>
        </w:rPr>
        <w:t>公务接待费支出</w:t>
      </w:r>
      <w:r>
        <w:rPr>
          <w:rFonts w:hint="default" w:ascii="Times New Roman" w:hAnsi="Times New Roman" w:eastAsia="Times New Roman"/>
          <w:color w:val="auto"/>
          <w:kern w:val="2"/>
          <w:sz w:val="32"/>
          <w:szCs w:val="24"/>
          <w:u w:val="single"/>
        </w:rPr>
        <w:t>1.2</w:t>
      </w:r>
      <w:r>
        <w:rPr>
          <w:rFonts w:hint="eastAsia" w:ascii="仿宋_GB2312" w:hAnsi="仿宋_GB2312" w:eastAsia="仿宋_GB2312"/>
          <w:color w:val="auto"/>
          <w:kern w:val="2"/>
          <w:sz w:val="32"/>
          <w:szCs w:val="24"/>
        </w:rPr>
        <w:t>万元。其中：国内公务接待支出</w:t>
      </w:r>
      <w:r>
        <w:rPr>
          <w:rFonts w:hint="default" w:ascii="Times New Roman" w:hAnsi="Times New Roman" w:eastAsia="Times New Roman"/>
          <w:color w:val="auto"/>
          <w:kern w:val="2"/>
          <w:sz w:val="32"/>
          <w:szCs w:val="24"/>
          <w:u w:val="single"/>
        </w:rPr>
        <w:t>1.2</w:t>
      </w:r>
      <w:r>
        <w:rPr>
          <w:rFonts w:hint="eastAsia" w:ascii="仿宋_GB2312" w:hAnsi="仿宋_GB2312" w:eastAsia="仿宋_GB2312"/>
          <w:color w:val="auto"/>
          <w:kern w:val="2"/>
          <w:sz w:val="32"/>
          <w:szCs w:val="24"/>
        </w:rPr>
        <w:t>万元，接待</w:t>
      </w:r>
      <w:r>
        <w:rPr>
          <w:rFonts w:hint="default" w:ascii="Times New Roman" w:hAnsi="Times New Roman" w:eastAsia="Times New Roman"/>
          <w:color w:val="auto"/>
          <w:kern w:val="2"/>
          <w:sz w:val="32"/>
          <w:szCs w:val="24"/>
          <w:u w:val="single"/>
        </w:rPr>
        <w:t>12</w:t>
      </w:r>
      <w:r>
        <w:rPr>
          <w:rFonts w:hint="eastAsia" w:ascii="仿宋_GB2312" w:hAnsi="仿宋_GB2312" w:eastAsia="仿宋_GB2312"/>
          <w:color w:val="auto"/>
          <w:kern w:val="2"/>
          <w:sz w:val="32"/>
          <w:szCs w:val="24"/>
        </w:rPr>
        <w:t>批次，</w:t>
      </w:r>
      <w:r>
        <w:rPr>
          <w:rFonts w:hint="default" w:ascii="Times New Roman" w:hAnsi="Times New Roman" w:eastAsia="Times New Roman"/>
          <w:color w:val="auto"/>
          <w:kern w:val="2"/>
          <w:sz w:val="32"/>
          <w:szCs w:val="24"/>
          <w:u w:val="single"/>
        </w:rPr>
        <w:t>125</w:t>
      </w:r>
      <w:r>
        <w:rPr>
          <w:rFonts w:hint="eastAsia" w:ascii="仿宋_GB2312" w:hAnsi="仿宋_GB2312" w:eastAsia="仿宋_GB2312"/>
          <w:color w:val="auto"/>
          <w:kern w:val="2"/>
          <w:sz w:val="32"/>
          <w:szCs w:val="24"/>
        </w:rPr>
        <w:t>人次，开支内容：</w:t>
      </w:r>
      <w:r>
        <w:rPr>
          <w:rFonts w:hint="eastAsia" w:ascii="仿宋_GB2312" w:hAnsi="仿宋_GB2312" w:eastAsia="仿宋_GB2312"/>
          <w:color w:val="auto"/>
          <w:kern w:val="2"/>
          <w:sz w:val="32"/>
          <w:szCs w:val="24"/>
          <w:lang w:val="en-US" w:eastAsia="zh-CN"/>
        </w:rPr>
        <w:t>上级部门检查指导工作及相关科室工作培训接待</w:t>
      </w:r>
      <w:r>
        <w:rPr>
          <w:rFonts w:hint="eastAsia" w:ascii="仿宋_GB2312" w:hAnsi="仿宋_GB2312" w:eastAsia="仿宋_GB2312"/>
          <w:color w:val="auto"/>
          <w:kern w:val="2"/>
          <w:sz w:val="32"/>
          <w:szCs w:val="24"/>
        </w:rPr>
        <w:t>；国（境）外公务接待支出</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万元，接待</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批次，</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人次，开支内容：</w:t>
      </w:r>
      <w:r>
        <w:rPr>
          <w:rFonts w:hint="eastAsia" w:ascii="仿宋_GB2312" w:hAnsi="仿宋_GB2312" w:eastAsia="仿宋_GB2312"/>
          <w:color w:val="auto"/>
          <w:kern w:val="2"/>
          <w:sz w:val="32"/>
          <w:szCs w:val="24"/>
          <w:lang w:val="en-US" w:eastAsia="zh-CN"/>
        </w:rPr>
        <w:t>无本项支出</w:t>
      </w:r>
      <w:r>
        <w:rPr>
          <w:rFonts w:hint="eastAsia" w:ascii="仿宋_GB2312" w:hAnsi="仿宋_GB2312" w:eastAsia="仿宋_GB2312"/>
          <w:color w:val="auto"/>
          <w:kern w:val="2"/>
          <w:sz w:val="32"/>
          <w:szCs w:val="24"/>
        </w:rPr>
        <w:t>。与上年决算相比，增加</w:t>
      </w:r>
      <w:r>
        <w:rPr>
          <w:rFonts w:hint="default" w:ascii="Times New Roman" w:hAnsi="Times New Roman" w:eastAsia="Times New Roman"/>
          <w:color w:val="auto"/>
          <w:kern w:val="2"/>
          <w:sz w:val="32"/>
          <w:szCs w:val="24"/>
          <w:u w:val="single"/>
        </w:rPr>
        <w:t>0.23</w:t>
      </w:r>
      <w:r>
        <w:rPr>
          <w:rFonts w:hint="eastAsia" w:ascii="仿宋_GB2312" w:hAnsi="仿宋_GB2312" w:eastAsia="仿宋_GB2312"/>
          <w:color w:val="auto"/>
          <w:kern w:val="2"/>
          <w:sz w:val="32"/>
          <w:szCs w:val="24"/>
        </w:rPr>
        <w:t>万元，增长</w:t>
      </w:r>
      <w:r>
        <w:rPr>
          <w:rFonts w:hint="default" w:ascii="Times New Roman" w:hAnsi="Times New Roman" w:eastAsia="Times New Roman"/>
          <w:color w:val="auto"/>
          <w:kern w:val="2"/>
          <w:sz w:val="32"/>
          <w:szCs w:val="24"/>
          <w:u w:val="single"/>
        </w:rPr>
        <w:t>24.16</w:t>
      </w:r>
      <w:r>
        <w:rPr>
          <w:rFonts w:hint="eastAsia" w:ascii="仿宋_GB2312" w:hAnsi="仿宋_GB2312" w:eastAsia="仿宋_GB2312"/>
          <w:color w:val="auto"/>
          <w:kern w:val="2"/>
          <w:sz w:val="32"/>
          <w:szCs w:val="24"/>
        </w:rPr>
        <w:t>%，变动原因：</w:t>
      </w:r>
      <w:r>
        <w:rPr>
          <w:rFonts w:hint="eastAsia" w:ascii="仿宋_GB2312" w:hAnsi="仿宋_GB2312" w:eastAsia="仿宋_GB2312"/>
          <w:color w:val="auto"/>
          <w:kern w:val="2"/>
          <w:sz w:val="32"/>
          <w:szCs w:val="24"/>
          <w:lang w:val="en-US" w:eastAsia="zh-CN"/>
        </w:rPr>
        <w:t>因工作接待比上年略微增长。</w:t>
      </w:r>
    </w:p>
    <w:p>
      <w:pPr>
        <w:spacing w:beforeLines="0" w:afterLines="0" w:line="600" w:lineRule="exact"/>
        <w:ind w:firstLine="643"/>
        <w:jc w:val="both"/>
        <w:rPr>
          <w:rFonts w:hint="default" w:ascii="Times New Roman" w:hAnsi="Times New Roman" w:eastAsia="Times New Roman"/>
          <w:b/>
          <w:color w:val="auto"/>
          <w:kern w:val="2"/>
          <w:sz w:val="32"/>
          <w:szCs w:val="24"/>
        </w:rPr>
      </w:pPr>
      <w:r>
        <w:rPr>
          <w:rFonts w:hint="eastAsia" w:ascii="黑体" w:hAnsi="黑体" w:eastAsia="黑体"/>
          <w:b/>
          <w:color w:val="000000"/>
          <w:kern w:val="2"/>
          <w:sz w:val="32"/>
          <w:szCs w:val="24"/>
        </w:rPr>
        <w:t>九、</w:t>
      </w:r>
      <w:r>
        <w:rPr>
          <w:rFonts w:hint="eastAsia" w:ascii="黑体" w:hAnsi="黑体" w:eastAsia="黑体"/>
          <w:b/>
          <w:color w:val="auto"/>
          <w:kern w:val="2"/>
          <w:sz w:val="32"/>
          <w:szCs w:val="24"/>
        </w:rPr>
        <w:t>政府性基金预算财政拨款支出决算情况说明</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内蒙古自治区巴彦淖尔市财政局部门2022年度政府性基金支出决算</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万元。与上年决算相比，增加</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万元，增长（减少）</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%，变动原因：</w:t>
      </w:r>
      <w:r>
        <w:rPr>
          <w:rFonts w:hint="eastAsia" w:ascii="仿宋_GB2312" w:hAnsi="仿宋_GB2312" w:eastAsia="仿宋_GB2312"/>
          <w:color w:val="auto"/>
          <w:kern w:val="2"/>
          <w:sz w:val="32"/>
          <w:szCs w:val="24"/>
          <w:lang w:val="en-US" w:eastAsia="zh-CN"/>
        </w:rPr>
        <w:t>无该项支出</w:t>
      </w:r>
      <w:r>
        <w:rPr>
          <w:rFonts w:hint="eastAsia" w:ascii="仿宋_GB2312" w:hAnsi="仿宋_GB2312" w:eastAsia="仿宋_GB2312"/>
          <w:color w:val="auto"/>
          <w:kern w:val="2"/>
          <w:sz w:val="32"/>
          <w:szCs w:val="24"/>
        </w:rPr>
        <w:t>。其中：</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（一）城乡社区支出（类）政府住房基金及对应专项债务收入安排的支出（款）管理费用支出（项）支出</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0</w:t>
      </w:r>
      <w:r>
        <w:rPr>
          <w:rFonts w:hint="eastAsia" w:ascii="仿宋_GB2312" w:hAnsi="仿宋_GB2312" w:eastAsia="仿宋_GB2312"/>
          <w:color w:val="auto"/>
          <w:kern w:val="2"/>
          <w:sz w:val="32"/>
          <w:szCs w:val="24"/>
        </w:rPr>
        <w:t>万元，主要用于……。</w:t>
      </w:r>
    </w:p>
    <w:p>
      <w:pPr>
        <w:spacing w:beforeLines="0" w:afterLines="0" w:line="600" w:lineRule="exact"/>
        <w:ind w:left="17" w:firstLine="640"/>
        <w:jc w:val="both"/>
        <w:rPr>
          <w:rFonts w:hint="default" w:ascii="Times New Roman" w:hAnsi="Times New Roman" w:eastAsia="Times New Roman"/>
          <w:color w:val="auto"/>
          <w:kern w:val="2"/>
          <w:sz w:val="32"/>
          <w:szCs w:val="24"/>
        </w:rPr>
      </w:pPr>
      <w:r>
        <w:rPr>
          <w:rFonts w:hint="default" w:ascii="仿宋_GB2312" w:hAnsi="仿宋_GB2312" w:eastAsia="仿宋_GB2312"/>
          <w:color w:val="auto"/>
          <w:kern w:val="2"/>
          <w:sz w:val="32"/>
          <w:szCs w:val="24"/>
        </w:rPr>
        <w:t>“</w:t>
      </w:r>
      <w:r>
        <w:rPr>
          <w:rFonts w:hint="eastAsia" w:ascii="仿宋_GB2312" w:hAnsi="仿宋_GB2312" w:eastAsia="仿宋_GB2312"/>
          <w:color w:val="auto"/>
          <w:kern w:val="2"/>
          <w:sz w:val="32"/>
          <w:szCs w:val="24"/>
        </w:rPr>
        <w:t>本部门无政府性基金预算财政拨款收、支、余。</w:t>
      </w:r>
      <w:r>
        <w:rPr>
          <w:rFonts w:hint="default" w:ascii="仿宋_GB2312" w:hAnsi="仿宋_GB2312" w:eastAsia="仿宋_GB2312"/>
          <w:color w:val="auto"/>
          <w:kern w:val="2"/>
          <w:sz w:val="32"/>
          <w:szCs w:val="24"/>
        </w:rPr>
        <w:t>”</w:t>
      </w:r>
      <w:r>
        <w:rPr>
          <w:rFonts w:hint="eastAsia" w:ascii="仿宋_GB2312" w:hAnsi="仿宋_GB2312" w:eastAsia="仿宋_GB2312"/>
          <w:color w:val="auto"/>
          <w:kern w:val="2"/>
          <w:sz w:val="32"/>
          <w:szCs w:val="24"/>
        </w:rPr>
        <w:t>）</w:t>
      </w:r>
    </w:p>
    <w:p>
      <w:pPr>
        <w:spacing w:beforeLines="0" w:afterLines="0" w:line="600" w:lineRule="exact"/>
        <w:ind w:firstLine="643"/>
        <w:jc w:val="both"/>
        <w:rPr>
          <w:rFonts w:hint="default" w:ascii="Times New Roman" w:hAnsi="Times New Roman" w:eastAsia="Times New Roman"/>
          <w:b/>
          <w:color w:val="auto"/>
          <w:kern w:val="2"/>
          <w:sz w:val="32"/>
          <w:szCs w:val="24"/>
        </w:rPr>
      </w:pPr>
      <w:r>
        <w:rPr>
          <w:rFonts w:hint="eastAsia" w:ascii="黑体" w:hAnsi="黑体" w:eastAsia="黑体"/>
          <w:b/>
          <w:color w:val="000000"/>
          <w:kern w:val="2"/>
          <w:sz w:val="32"/>
          <w:szCs w:val="24"/>
        </w:rPr>
        <w:t>十、</w:t>
      </w:r>
      <w:r>
        <w:rPr>
          <w:rFonts w:hint="eastAsia" w:ascii="黑体" w:hAnsi="黑体" w:eastAsia="黑体"/>
          <w:b/>
          <w:color w:val="auto"/>
          <w:kern w:val="2"/>
          <w:sz w:val="32"/>
          <w:szCs w:val="24"/>
        </w:rPr>
        <w:t>国有资本经营预算财政拨款支出决算情况说明</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内蒙古自治区巴彦淖尔市财政局部门2022年度国有资本经营预算支出决算</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万元。与上年决算相比，增加（减少）</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万元，增长（减少）</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%，变动原因：</w:t>
      </w:r>
      <w:r>
        <w:rPr>
          <w:rFonts w:hint="eastAsia" w:ascii="仿宋_GB2312" w:hAnsi="仿宋_GB2312" w:eastAsia="仿宋_GB2312"/>
          <w:color w:val="auto"/>
          <w:kern w:val="2"/>
          <w:sz w:val="32"/>
          <w:szCs w:val="24"/>
          <w:lang w:val="en-US" w:eastAsia="zh-CN"/>
        </w:rPr>
        <w:t>无该项支出</w:t>
      </w:r>
      <w:r>
        <w:rPr>
          <w:rFonts w:hint="eastAsia" w:ascii="仿宋_GB2312" w:hAnsi="仿宋_GB2312" w:eastAsia="仿宋_GB2312"/>
          <w:color w:val="auto"/>
          <w:kern w:val="2"/>
          <w:sz w:val="32"/>
          <w:szCs w:val="24"/>
        </w:rPr>
        <w:t>。其中：</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（一）国有资本经营预算支出（类）解决历史遗留问题及改革成本支出（款）</w:t>
      </w:r>
      <w:r>
        <w:rPr>
          <w:rFonts w:hint="default" w:ascii="仿宋_GB2312" w:hAnsi="仿宋_GB2312" w:eastAsia="仿宋_GB2312"/>
          <w:color w:val="auto"/>
          <w:kern w:val="2"/>
          <w:sz w:val="32"/>
          <w:szCs w:val="24"/>
        </w:rPr>
        <w:t>“</w:t>
      </w:r>
      <w:r>
        <w:rPr>
          <w:rFonts w:hint="eastAsia" w:ascii="仿宋_GB2312" w:hAnsi="仿宋_GB2312" w:eastAsia="仿宋_GB2312"/>
          <w:color w:val="auto"/>
          <w:kern w:val="2"/>
          <w:sz w:val="32"/>
          <w:szCs w:val="24"/>
        </w:rPr>
        <w:t>三供一业</w:t>
      </w:r>
      <w:r>
        <w:rPr>
          <w:rFonts w:hint="default" w:ascii="仿宋_GB2312" w:hAnsi="仿宋_GB2312" w:eastAsia="仿宋_GB2312"/>
          <w:color w:val="auto"/>
          <w:kern w:val="2"/>
          <w:sz w:val="32"/>
          <w:szCs w:val="24"/>
        </w:rPr>
        <w:t>”</w:t>
      </w:r>
      <w:r>
        <w:rPr>
          <w:rFonts w:hint="eastAsia" w:ascii="仿宋_GB2312" w:hAnsi="仿宋_GB2312" w:eastAsia="仿宋_GB2312"/>
          <w:color w:val="auto"/>
          <w:kern w:val="2"/>
          <w:sz w:val="32"/>
          <w:szCs w:val="24"/>
        </w:rPr>
        <w:t>移交补助支出（项）支出</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0</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万元。</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default" w:ascii="仿宋_GB2312" w:hAnsi="仿宋_GB2312" w:eastAsia="仿宋_GB2312"/>
          <w:color w:val="auto"/>
          <w:kern w:val="2"/>
          <w:sz w:val="32"/>
          <w:szCs w:val="24"/>
        </w:rPr>
        <w:t>“</w:t>
      </w:r>
      <w:r>
        <w:rPr>
          <w:rFonts w:hint="eastAsia" w:ascii="仿宋_GB2312" w:hAnsi="仿宋_GB2312" w:eastAsia="仿宋_GB2312"/>
          <w:color w:val="auto"/>
          <w:kern w:val="2"/>
          <w:sz w:val="32"/>
          <w:szCs w:val="24"/>
        </w:rPr>
        <w:t>本部门无国有资本经营预算财政拨款收、支、余。</w:t>
      </w:r>
      <w:r>
        <w:rPr>
          <w:rFonts w:hint="default" w:ascii="仿宋_GB2312" w:hAnsi="仿宋_GB2312" w:eastAsia="仿宋_GB2312"/>
          <w:color w:val="auto"/>
          <w:kern w:val="2"/>
          <w:sz w:val="32"/>
          <w:szCs w:val="24"/>
        </w:rPr>
        <w:t>”</w:t>
      </w:r>
    </w:p>
    <w:p>
      <w:pPr>
        <w:keepNext/>
        <w:spacing w:beforeLines="0" w:afterLines="0" w:line="600" w:lineRule="exact"/>
        <w:ind w:firstLine="643"/>
        <w:jc w:val="both"/>
        <w:rPr>
          <w:rFonts w:hint="default" w:ascii="Times New Roman" w:hAnsi="Times New Roman" w:eastAsia="Times New Roman"/>
          <w:b/>
          <w:color w:val="auto"/>
          <w:kern w:val="2"/>
          <w:sz w:val="32"/>
          <w:szCs w:val="24"/>
        </w:rPr>
      </w:pPr>
      <w:r>
        <w:rPr>
          <w:rFonts w:hint="eastAsia" w:ascii="黑体" w:hAnsi="黑体" w:eastAsia="黑体"/>
          <w:b/>
          <w:color w:val="000000"/>
          <w:kern w:val="2"/>
          <w:sz w:val="32"/>
          <w:szCs w:val="24"/>
        </w:rPr>
        <w:t>十一、</w:t>
      </w:r>
      <w:r>
        <w:rPr>
          <w:rFonts w:hint="eastAsia" w:ascii="黑体" w:hAnsi="黑体" w:eastAsia="黑体"/>
          <w:b/>
          <w:color w:val="auto"/>
          <w:kern w:val="2"/>
          <w:sz w:val="32"/>
          <w:szCs w:val="24"/>
        </w:rPr>
        <w:t>项目支出决算情况说明</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内蒙古自治区巴彦淖尔市财政局部门2022年度预算安排项目</w:t>
      </w:r>
      <w:r>
        <w:rPr>
          <w:rFonts w:hint="default" w:ascii="Times New Roman" w:hAnsi="Times New Roman" w:eastAsia="Times New Roman"/>
          <w:color w:val="auto"/>
          <w:kern w:val="2"/>
          <w:sz w:val="32"/>
          <w:szCs w:val="24"/>
          <w:u w:val="single"/>
        </w:rPr>
        <w:tab/>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14</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个，实施项目</w:t>
      </w:r>
      <w:r>
        <w:rPr>
          <w:rFonts w:hint="default" w:ascii="Times New Roman" w:hAnsi="Times New Roman" w:eastAsia="Times New Roman"/>
          <w:color w:val="auto"/>
          <w:kern w:val="2"/>
          <w:sz w:val="32"/>
          <w:szCs w:val="24"/>
          <w:u w:val="single"/>
        </w:rPr>
        <w:tab/>
      </w:r>
      <w:r>
        <w:rPr>
          <w:rFonts w:hint="eastAsia" w:ascii="Times New Roman" w:hAnsi="Times New Roman" w:eastAsia="宋体"/>
          <w:color w:val="auto"/>
          <w:kern w:val="2"/>
          <w:sz w:val="32"/>
          <w:szCs w:val="24"/>
          <w:u w:val="single"/>
          <w:lang w:val="en-US" w:eastAsia="zh-CN"/>
        </w:rPr>
        <w:t>14</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个，完成项目</w:t>
      </w:r>
      <w:r>
        <w:rPr>
          <w:rFonts w:hint="eastAsia" w:ascii="仿宋_GB2312" w:hAnsi="仿宋_GB2312" w:eastAsia="仿宋_GB2312"/>
          <w:color w:val="auto"/>
          <w:kern w:val="2"/>
          <w:sz w:val="32"/>
          <w:szCs w:val="24"/>
          <w:lang w:val="en-US" w:eastAsia="zh-CN"/>
        </w:rPr>
        <w:t>14</w:t>
      </w:r>
      <w:r>
        <w:rPr>
          <w:rFonts w:hint="default" w:ascii="Times New Roman" w:hAnsi="Times New Roman" w:eastAsia="Times New Roman"/>
          <w:color w:val="auto"/>
          <w:kern w:val="2"/>
          <w:sz w:val="32"/>
          <w:szCs w:val="24"/>
          <w:u w:val="single"/>
        </w:rPr>
        <w:tab/>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个，项目支出总金额</w:t>
      </w:r>
      <w:r>
        <w:rPr>
          <w:rFonts w:hint="default" w:ascii="Times New Roman" w:hAnsi="Times New Roman" w:eastAsia="Times New Roman"/>
          <w:color w:val="auto"/>
          <w:kern w:val="2"/>
          <w:sz w:val="32"/>
          <w:szCs w:val="24"/>
          <w:u w:val="single"/>
        </w:rPr>
        <w:t>785.12</w:t>
      </w:r>
      <w:r>
        <w:rPr>
          <w:rFonts w:hint="eastAsia" w:ascii="仿宋_GB2312" w:hAnsi="仿宋_GB2312" w:eastAsia="仿宋_GB2312"/>
          <w:color w:val="auto"/>
          <w:kern w:val="2"/>
          <w:sz w:val="32"/>
          <w:szCs w:val="24"/>
        </w:rPr>
        <w:t>万元。资金来源包括年初结转结余</w:t>
      </w:r>
      <w:r>
        <w:rPr>
          <w:rFonts w:hint="default" w:ascii="Times New Roman" w:hAnsi="Times New Roman" w:eastAsia="Times New Roman"/>
          <w:color w:val="auto"/>
          <w:kern w:val="2"/>
          <w:sz w:val="32"/>
          <w:szCs w:val="24"/>
          <w:u w:val="single"/>
        </w:rPr>
        <w:t>22.11</w:t>
      </w:r>
      <w:r>
        <w:rPr>
          <w:rFonts w:hint="eastAsia" w:ascii="仿宋_GB2312" w:hAnsi="仿宋_GB2312" w:eastAsia="仿宋_GB2312"/>
          <w:color w:val="auto"/>
          <w:kern w:val="2"/>
          <w:sz w:val="32"/>
          <w:szCs w:val="24"/>
        </w:rPr>
        <w:t>万元，本年财政拨款金额</w:t>
      </w:r>
      <w:r>
        <w:rPr>
          <w:rFonts w:hint="default" w:ascii="Times New Roman" w:hAnsi="Times New Roman" w:eastAsia="Times New Roman"/>
          <w:color w:val="auto"/>
          <w:kern w:val="2"/>
          <w:sz w:val="32"/>
          <w:szCs w:val="24"/>
          <w:u w:val="single"/>
        </w:rPr>
        <w:t>792.07</w:t>
      </w:r>
      <w:r>
        <w:rPr>
          <w:rFonts w:hint="eastAsia" w:ascii="仿宋_GB2312" w:hAnsi="仿宋_GB2312" w:eastAsia="仿宋_GB2312"/>
          <w:color w:val="auto"/>
          <w:kern w:val="2"/>
          <w:sz w:val="32"/>
          <w:szCs w:val="24"/>
        </w:rPr>
        <w:t>万元，本年其他资金</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万元。</w:t>
      </w:r>
    </w:p>
    <w:p>
      <w:pPr>
        <w:spacing w:beforeLines="0" w:afterLines="0" w:line="600" w:lineRule="exact"/>
        <w:ind w:firstLine="643"/>
        <w:jc w:val="both"/>
        <w:rPr>
          <w:rFonts w:hint="default" w:ascii="Times New Roman" w:hAnsi="Times New Roman" w:eastAsia="Times New Roman"/>
          <w:b/>
          <w:color w:val="auto"/>
          <w:kern w:val="2"/>
          <w:sz w:val="32"/>
          <w:szCs w:val="24"/>
        </w:rPr>
      </w:pPr>
      <w:r>
        <w:rPr>
          <w:rFonts w:hint="eastAsia" w:ascii="黑体" w:hAnsi="黑体" w:eastAsia="黑体"/>
          <w:b/>
          <w:color w:val="000000"/>
          <w:kern w:val="2"/>
          <w:sz w:val="32"/>
          <w:szCs w:val="24"/>
        </w:rPr>
        <w:t>十二、</w:t>
      </w:r>
      <w:r>
        <w:rPr>
          <w:rFonts w:hint="eastAsia" w:ascii="黑体" w:hAnsi="黑体" w:eastAsia="黑体"/>
          <w:b/>
          <w:color w:val="auto"/>
          <w:kern w:val="2"/>
          <w:sz w:val="32"/>
          <w:szCs w:val="24"/>
        </w:rPr>
        <w:t>机构运行经费支出决算情况说明</w:t>
      </w:r>
    </w:p>
    <w:p>
      <w:pPr>
        <w:spacing w:beforeLines="0" w:afterLines="0" w:line="560" w:lineRule="exact"/>
        <w:ind w:firstLine="640"/>
        <w:jc w:val="both"/>
        <w:rPr>
          <w:rFonts w:hint="default" w:ascii="Times New Roman" w:hAnsi="Times New Roman" w:eastAsia="Times New Roman"/>
          <w:color w:val="0000FF"/>
          <w:kern w:val="2"/>
          <w:sz w:val="32"/>
          <w:szCs w:val="24"/>
        </w:rPr>
      </w:pPr>
      <w:r>
        <w:rPr>
          <w:rFonts w:hint="eastAsia" w:ascii="仿宋_GB2312" w:hAnsi="仿宋_GB2312" w:eastAsia="仿宋_GB2312"/>
          <w:color w:val="auto"/>
          <w:kern w:val="2"/>
          <w:sz w:val="32"/>
          <w:szCs w:val="24"/>
        </w:rPr>
        <w:t>内蒙古自治区巴彦淖尔市财政局部门2022年度机构运行经费支出决算</w:t>
      </w:r>
      <w:r>
        <w:rPr>
          <w:rFonts w:hint="default" w:ascii="Times New Roman" w:hAnsi="Times New Roman" w:eastAsia="Times New Roman"/>
          <w:color w:val="auto"/>
          <w:kern w:val="2"/>
          <w:sz w:val="32"/>
          <w:szCs w:val="24"/>
          <w:u w:val="single"/>
        </w:rPr>
        <w:t>173.82</w:t>
      </w:r>
      <w:r>
        <w:rPr>
          <w:rFonts w:hint="eastAsia" w:ascii="仿宋_GB2312" w:hAnsi="仿宋_GB2312" w:eastAsia="仿宋_GB2312"/>
          <w:color w:val="auto"/>
          <w:kern w:val="2"/>
          <w:sz w:val="32"/>
          <w:szCs w:val="24"/>
        </w:rPr>
        <w:t>万元。比上年决算相比，减少</w:t>
      </w:r>
      <w:r>
        <w:rPr>
          <w:rFonts w:hint="default" w:ascii="Times New Roman" w:hAnsi="Times New Roman" w:eastAsia="Times New Roman"/>
          <w:color w:val="auto"/>
          <w:kern w:val="2"/>
          <w:sz w:val="32"/>
          <w:szCs w:val="24"/>
          <w:u w:val="single"/>
        </w:rPr>
        <w:t>-26.82</w:t>
      </w:r>
      <w:r>
        <w:rPr>
          <w:rFonts w:hint="eastAsia" w:ascii="仿宋_GB2312" w:hAnsi="仿宋_GB2312" w:eastAsia="仿宋_GB2312"/>
          <w:color w:val="auto"/>
          <w:kern w:val="2"/>
          <w:sz w:val="32"/>
          <w:szCs w:val="24"/>
        </w:rPr>
        <w:t>万元，减少</w:t>
      </w:r>
      <w:r>
        <w:rPr>
          <w:rFonts w:hint="default" w:ascii="Times New Roman" w:hAnsi="Times New Roman" w:eastAsia="Times New Roman"/>
          <w:color w:val="auto"/>
          <w:kern w:val="2"/>
          <w:sz w:val="32"/>
          <w:szCs w:val="24"/>
          <w:u w:val="single"/>
        </w:rPr>
        <w:t>-13.37</w:t>
      </w:r>
      <w:r>
        <w:rPr>
          <w:rFonts w:hint="eastAsia" w:ascii="仿宋_GB2312" w:hAnsi="仿宋_GB2312" w:eastAsia="仿宋_GB2312"/>
          <w:color w:val="auto"/>
          <w:kern w:val="2"/>
          <w:sz w:val="32"/>
          <w:szCs w:val="24"/>
        </w:rPr>
        <w:t>%，变动原因：</w:t>
      </w:r>
      <w:r>
        <w:rPr>
          <w:rFonts w:hint="eastAsia" w:ascii="仿宋_GB2312" w:hAnsi="仿宋_GB2312" w:eastAsia="仿宋_GB2312"/>
          <w:color w:val="auto"/>
          <w:kern w:val="2"/>
          <w:sz w:val="32"/>
          <w:szCs w:val="24"/>
          <w:lang w:val="en-US" w:eastAsia="zh-CN"/>
        </w:rPr>
        <w:t>2022年因受疫情影响，机关运行经费支出比年初预算有所减少</w:t>
      </w:r>
      <w:r>
        <w:rPr>
          <w:rFonts w:hint="eastAsia" w:ascii="仿宋_GB2312" w:hAnsi="仿宋_GB2312" w:eastAsia="仿宋_GB2312"/>
          <w:color w:val="auto"/>
          <w:kern w:val="2"/>
          <w:sz w:val="32"/>
          <w:szCs w:val="24"/>
        </w:rPr>
        <w:t>。</w:t>
      </w:r>
    </w:p>
    <w:p>
      <w:pPr>
        <w:spacing w:beforeLines="0" w:afterLines="0" w:line="600" w:lineRule="exact"/>
        <w:ind w:firstLine="643"/>
        <w:jc w:val="both"/>
        <w:rPr>
          <w:rFonts w:hint="default" w:ascii="Times New Roman" w:hAnsi="Times New Roman" w:eastAsia="Times New Roman"/>
          <w:b/>
          <w:color w:val="auto"/>
          <w:kern w:val="2"/>
          <w:sz w:val="32"/>
          <w:szCs w:val="24"/>
        </w:rPr>
      </w:pPr>
      <w:r>
        <w:rPr>
          <w:rFonts w:hint="eastAsia" w:ascii="黑体" w:hAnsi="黑体" w:eastAsia="黑体"/>
          <w:b/>
          <w:color w:val="000000"/>
          <w:kern w:val="2"/>
          <w:sz w:val="32"/>
          <w:szCs w:val="24"/>
        </w:rPr>
        <w:t>十三、</w:t>
      </w:r>
      <w:r>
        <w:rPr>
          <w:rFonts w:hint="eastAsia" w:ascii="黑体" w:hAnsi="黑体" w:eastAsia="黑体"/>
          <w:b/>
          <w:color w:val="auto"/>
          <w:kern w:val="2"/>
          <w:sz w:val="32"/>
          <w:szCs w:val="24"/>
        </w:rPr>
        <w:t>政府采购支出决算情况说明</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内蒙古自治区巴彦淖尔市财政局部门2022年度政府采购支出总额</w:t>
      </w:r>
      <w:r>
        <w:rPr>
          <w:rFonts w:hint="default" w:ascii="Times New Roman" w:hAnsi="Times New Roman" w:eastAsia="Times New Roman"/>
          <w:color w:val="auto"/>
          <w:kern w:val="2"/>
          <w:sz w:val="32"/>
          <w:szCs w:val="24"/>
          <w:u w:val="single"/>
        </w:rPr>
        <w:t>5.02</w:t>
      </w:r>
      <w:r>
        <w:rPr>
          <w:rFonts w:hint="eastAsia" w:ascii="仿宋_GB2312" w:hAnsi="仿宋_GB2312" w:eastAsia="仿宋_GB2312"/>
          <w:color w:val="auto"/>
          <w:kern w:val="2"/>
          <w:sz w:val="32"/>
          <w:szCs w:val="24"/>
        </w:rPr>
        <w:t>万元，其中：政府采购货物支出</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万元、政府采购工程支出</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万元、政府采购服务支出</w:t>
      </w:r>
      <w:r>
        <w:rPr>
          <w:rFonts w:hint="default" w:ascii="Times New Roman" w:hAnsi="Times New Roman" w:eastAsia="Times New Roman"/>
          <w:color w:val="auto"/>
          <w:kern w:val="2"/>
          <w:sz w:val="32"/>
          <w:szCs w:val="24"/>
          <w:u w:val="single"/>
        </w:rPr>
        <w:t>5.02</w:t>
      </w:r>
      <w:r>
        <w:rPr>
          <w:rFonts w:hint="eastAsia" w:ascii="仿宋_GB2312" w:hAnsi="仿宋_GB2312" w:eastAsia="仿宋_GB2312"/>
          <w:color w:val="auto"/>
          <w:kern w:val="2"/>
          <w:sz w:val="32"/>
          <w:szCs w:val="24"/>
        </w:rPr>
        <w:t>万元。政府采购授予中小企业合同金额</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万元，占政府采购支出总额的</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0</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%，其中：授予小微企业合同金额</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万元，占政府采购支出总额的</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0</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w:t>
      </w:r>
      <w:r>
        <w:rPr>
          <w:rFonts w:hint="eastAsia" w:ascii="仿宋_GB2312" w:hAnsi="仿宋_GB2312" w:eastAsia="仿宋_GB2312"/>
          <w:color w:val="000000"/>
          <w:sz w:val="32"/>
          <w:szCs w:val="24"/>
        </w:rPr>
        <w:t>货物采购授予中小企业合同金额占货物支出金额的</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0</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000000"/>
          <w:sz w:val="32"/>
          <w:szCs w:val="24"/>
        </w:rPr>
        <w:t xml:space="preserve"> %，工程采购授予中小企业合同金额占工程支出金额的</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0</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000000"/>
          <w:sz w:val="32"/>
          <w:szCs w:val="24"/>
        </w:rPr>
        <w:t>%，服务采购授予中小企业合同金额占服务支出金额的</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0</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000000"/>
          <w:sz w:val="32"/>
          <w:szCs w:val="24"/>
        </w:rPr>
        <w:t>%。</w:t>
      </w:r>
    </w:p>
    <w:p>
      <w:pPr>
        <w:keepNext/>
        <w:spacing w:beforeLines="0" w:afterLines="0" w:line="600" w:lineRule="exact"/>
        <w:ind w:firstLine="643"/>
        <w:jc w:val="both"/>
        <w:rPr>
          <w:rFonts w:hint="default" w:ascii="Times New Roman" w:hAnsi="Times New Roman" w:eastAsia="Times New Roman"/>
          <w:b/>
          <w:color w:val="auto"/>
          <w:kern w:val="2"/>
          <w:sz w:val="32"/>
          <w:szCs w:val="24"/>
        </w:rPr>
      </w:pPr>
      <w:r>
        <w:rPr>
          <w:rFonts w:hint="eastAsia" w:ascii="黑体" w:hAnsi="黑体" w:eastAsia="黑体"/>
          <w:b/>
          <w:color w:val="000000"/>
          <w:kern w:val="2"/>
          <w:sz w:val="32"/>
          <w:szCs w:val="24"/>
        </w:rPr>
        <w:t>十四、</w:t>
      </w:r>
      <w:r>
        <w:rPr>
          <w:rFonts w:hint="eastAsia" w:ascii="黑体" w:hAnsi="黑体" w:eastAsia="黑体"/>
          <w:b/>
          <w:color w:val="auto"/>
          <w:kern w:val="2"/>
          <w:sz w:val="32"/>
          <w:szCs w:val="24"/>
        </w:rPr>
        <w:t>国有资产占用情况说明</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内蒙古自治区巴彦淖尔市财政局部门截至</w:t>
      </w:r>
      <w:r>
        <w:rPr>
          <w:rFonts w:hint="default" w:ascii="Times New Roman" w:hAnsi="Times New Roman" w:eastAsia="Times New Roman"/>
          <w:color w:val="auto"/>
          <w:kern w:val="2"/>
          <w:sz w:val="32"/>
          <w:szCs w:val="24"/>
        </w:rPr>
        <w:t>2022</w:t>
      </w:r>
      <w:r>
        <w:rPr>
          <w:rFonts w:hint="eastAsia" w:ascii="仿宋_GB2312" w:hAnsi="仿宋_GB2312" w:eastAsia="仿宋_GB2312"/>
          <w:color w:val="auto"/>
          <w:kern w:val="2"/>
          <w:sz w:val="32"/>
          <w:szCs w:val="24"/>
        </w:rPr>
        <w:t>年</w:t>
      </w:r>
      <w:r>
        <w:rPr>
          <w:rFonts w:hint="default" w:ascii="Times New Roman" w:hAnsi="Times New Roman" w:eastAsia="Times New Roman"/>
          <w:color w:val="auto"/>
          <w:kern w:val="2"/>
          <w:sz w:val="32"/>
          <w:szCs w:val="24"/>
        </w:rPr>
        <w:t>12</w:t>
      </w:r>
      <w:r>
        <w:rPr>
          <w:rFonts w:hint="eastAsia" w:ascii="仿宋_GB2312" w:hAnsi="仿宋_GB2312" w:eastAsia="仿宋_GB2312"/>
          <w:color w:val="auto"/>
          <w:kern w:val="2"/>
          <w:sz w:val="32"/>
          <w:szCs w:val="24"/>
        </w:rPr>
        <w:t>月</w:t>
      </w:r>
      <w:r>
        <w:rPr>
          <w:rFonts w:hint="default" w:ascii="Times New Roman" w:hAnsi="Times New Roman" w:eastAsia="Times New Roman"/>
          <w:color w:val="auto"/>
          <w:kern w:val="2"/>
          <w:sz w:val="32"/>
          <w:szCs w:val="24"/>
        </w:rPr>
        <w:t>31</w:t>
      </w:r>
      <w:r>
        <w:rPr>
          <w:rFonts w:hint="eastAsia" w:ascii="仿宋_GB2312" w:hAnsi="仿宋_GB2312" w:eastAsia="仿宋_GB2312"/>
          <w:color w:val="auto"/>
          <w:kern w:val="2"/>
          <w:sz w:val="32"/>
          <w:szCs w:val="24"/>
        </w:rPr>
        <w:t>日，本部门共有车辆</w:t>
      </w:r>
      <w:r>
        <w:rPr>
          <w:rFonts w:hint="default" w:ascii="Times New Roman" w:hAnsi="Times New Roman" w:eastAsia="Times New Roman"/>
          <w:color w:val="auto"/>
          <w:kern w:val="2"/>
          <w:sz w:val="32"/>
          <w:szCs w:val="24"/>
          <w:u w:val="single"/>
        </w:rPr>
        <w:t>4</w:t>
      </w:r>
      <w:r>
        <w:rPr>
          <w:rFonts w:hint="eastAsia" w:ascii="仿宋_GB2312" w:hAnsi="仿宋_GB2312" w:eastAsia="仿宋_GB2312"/>
          <w:color w:val="auto"/>
          <w:kern w:val="2"/>
          <w:sz w:val="32"/>
          <w:szCs w:val="24"/>
        </w:rPr>
        <w:t>辆，其中：副部（省）级及以上领导用车</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辆、主要领导干部用车</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辆、机要通信用车</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辆、应急保障用车</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辆、执法执勤用车</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辆、特种专业技术用车</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辆、离退休干部用车</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辆，其他用车</w:t>
      </w:r>
      <w:r>
        <w:rPr>
          <w:rFonts w:hint="default" w:ascii="Times New Roman" w:hAnsi="Times New Roman" w:eastAsia="Times New Roman"/>
          <w:color w:val="auto"/>
          <w:kern w:val="2"/>
          <w:sz w:val="32"/>
          <w:szCs w:val="24"/>
          <w:u w:val="single"/>
        </w:rPr>
        <w:t>4</w:t>
      </w:r>
      <w:r>
        <w:rPr>
          <w:rFonts w:hint="eastAsia" w:ascii="仿宋_GB2312" w:hAnsi="仿宋_GB2312" w:eastAsia="仿宋_GB2312"/>
          <w:color w:val="auto"/>
          <w:kern w:val="2"/>
          <w:sz w:val="32"/>
          <w:szCs w:val="24"/>
        </w:rPr>
        <w:t>辆；单价</w:t>
      </w:r>
      <w:r>
        <w:rPr>
          <w:rFonts w:hint="default" w:ascii="Times New Roman" w:hAnsi="Times New Roman" w:eastAsia="Times New Roman"/>
          <w:color w:val="auto"/>
          <w:kern w:val="2"/>
          <w:sz w:val="32"/>
          <w:szCs w:val="24"/>
        </w:rPr>
        <w:t>100</w:t>
      </w:r>
      <w:r>
        <w:rPr>
          <w:rFonts w:hint="eastAsia" w:ascii="仿宋_GB2312" w:hAnsi="仿宋_GB2312" w:eastAsia="仿宋_GB2312"/>
          <w:color w:val="auto"/>
          <w:kern w:val="2"/>
          <w:sz w:val="32"/>
          <w:szCs w:val="24"/>
        </w:rPr>
        <w:t>万元（含）以上的设备（不含车辆）</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台（套）。</w:t>
      </w:r>
    </w:p>
    <w:p>
      <w:pPr>
        <w:spacing w:beforeLines="0" w:afterLines="0" w:line="600" w:lineRule="exact"/>
        <w:ind w:firstLine="643"/>
        <w:jc w:val="both"/>
        <w:rPr>
          <w:rFonts w:hint="default" w:ascii="Times New Roman" w:hAnsi="Times New Roman" w:eastAsia="Times New Roman"/>
          <w:b/>
          <w:color w:val="auto"/>
          <w:kern w:val="2"/>
          <w:sz w:val="32"/>
          <w:szCs w:val="24"/>
        </w:rPr>
      </w:pPr>
      <w:r>
        <w:rPr>
          <w:rFonts w:hint="eastAsia" w:ascii="黑体" w:hAnsi="黑体" w:eastAsia="黑体"/>
          <w:b/>
          <w:color w:val="000000"/>
          <w:kern w:val="2"/>
          <w:sz w:val="32"/>
          <w:szCs w:val="24"/>
        </w:rPr>
        <w:t>十五、</w:t>
      </w:r>
      <w:r>
        <w:rPr>
          <w:rFonts w:hint="eastAsia" w:ascii="黑体" w:hAnsi="黑体" w:eastAsia="黑体"/>
          <w:b/>
          <w:color w:val="auto"/>
          <w:kern w:val="2"/>
          <w:sz w:val="32"/>
          <w:szCs w:val="24"/>
        </w:rPr>
        <w:t>预算绩效情况说明</w:t>
      </w:r>
    </w:p>
    <w:p>
      <w:pPr>
        <w:spacing w:beforeLines="0" w:afterLines="0"/>
        <w:ind w:firstLine="643"/>
        <w:jc w:val="both"/>
        <w:rPr>
          <w:rFonts w:hint="default" w:ascii="Times New Roman" w:hAnsi="Times New Roman" w:eastAsia="Times New Roman"/>
          <w:b/>
          <w:color w:val="auto"/>
          <w:kern w:val="2"/>
          <w:sz w:val="32"/>
          <w:szCs w:val="24"/>
        </w:rPr>
      </w:pPr>
      <w:r>
        <w:rPr>
          <w:rFonts w:hint="eastAsia" w:ascii="楷体" w:hAnsi="楷体" w:eastAsia="楷体"/>
          <w:b/>
          <w:color w:val="auto"/>
          <w:kern w:val="2"/>
          <w:sz w:val="32"/>
          <w:szCs w:val="24"/>
        </w:rPr>
        <w:t>（一）预算绩效管理工作开展情况。</w:t>
      </w:r>
    </w:p>
    <w:p>
      <w:pPr>
        <w:spacing w:beforeLines="0" w:afterLines="0" w:line="560" w:lineRule="exact"/>
        <w:ind w:firstLine="640"/>
        <w:jc w:val="both"/>
        <w:rPr>
          <w:rFonts w:hint="eastAsia" w:ascii="仿宋_GB2312" w:hAnsi="仿宋_GB2312" w:eastAsia="仿宋_GB2312"/>
          <w:color w:val="auto"/>
          <w:kern w:val="2"/>
          <w:sz w:val="32"/>
          <w:szCs w:val="24"/>
          <w:lang w:val="en-US" w:eastAsia="zh-CN"/>
        </w:rPr>
      </w:pPr>
      <w:r>
        <w:rPr>
          <w:rFonts w:hint="eastAsia" w:ascii="仿宋_GB2312" w:hAnsi="仿宋_GB2312" w:eastAsia="仿宋_GB2312"/>
          <w:color w:val="auto"/>
          <w:kern w:val="2"/>
          <w:sz w:val="32"/>
          <w:szCs w:val="24"/>
        </w:rPr>
        <w:t>内蒙古自治区巴彦淖尔市财政局部门根据预算绩效管理要求组织对2022年一般公共预算项目支出全面开展绩效自评，其中一级项目</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14</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个，二级项目</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0</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个，共涉及资金</w:t>
      </w:r>
      <w:r>
        <w:rPr>
          <w:rFonts w:hint="default" w:ascii="Times New Roman" w:hAnsi="Times New Roman" w:eastAsia="Times New Roman"/>
          <w:color w:val="auto"/>
          <w:kern w:val="2"/>
          <w:sz w:val="32"/>
          <w:szCs w:val="24"/>
          <w:u w:val="single"/>
        </w:rPr>
        <w:t>785.12</w:t>
      </w:r>
      <w:r>
        <w:rPr>
          <w:rFonts w:hint="eastAsia" w:ascii="仿宋_GB2312" w:hAnsi="仿宋_GB2312" w:eastAsia="仿宋_GB2312"/>
          <w:color w:val="auto"/>
          <w:kern w:val="2"/>
          <w:sz w:val="32"/>
          <w:szCs w:val="24"/>
        </w:rPr>
        <w:t>万元，占一般公共预算项目支出总额的</w:t>
      </w:r>
      <w:r>
        <w:rPr>
          <w:rFonts w:hint="default" w:ascii="Times New Roman" w:hAnsi="Times New Roman" w:eastAsia="Times New Roman"/>
          <w:color w:val="auto"/>
          <w:kern w:val="2"/>
          <w:sz w:val="32"/>
          <w:szCs w:val="24"/>
        </w:rPr>
        <w:t>100</w:t>
      </w:r>
      <w:r>
        <w:rPr>
          <w:rFonts w:hint="eastAsia" w:ascii="仿宋_GB2312" w:hAnsi="仿宋_GB2312" w:eastAsia="仿宋_GB2312"/>
          <w:color w:val="auto"/>
          <w:kern w:val="2"/>
          <w:sz w:val="32"/>
          <w:szCs w:val="24"/>
        </w:rPr>
        <w:t>%；政府性基金预算项目</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0</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个，其中，一级项目</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0</w:t>
      </w:r>
      <w:r>
        <w:rPr>
          <w:rFonts w:hint="eastAsia" w:ascii="仿宋_GB2312" w:hAnsi="仿宋_GB2312" w:eastAsia="仿宋_GB2312"/>
          <w:color w:val="auto"/>
          <w:kern w:val="2"/>
          <w:sz w:val="32"/>
          <w:szCs w:val="24"/>
        </w:rPr>
        <w:t>个，二级项目</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0</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个，共涉及资金</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万元，占应纳入绩效自评的政府性基金预算项目支出总额的</w:t>
      </w:r>
      <w:r>
        <w:rPr>
          <w:rFonts w:hint="default" w:ascii="Times New Roman" w:hAnsi="Times New Roman" w:eastAsia="Times New Roman"/>
          <w:color w:val="auto"/>
          <w:kern w:val="2"/>
          <w:sz w:val="32"/>
          <w:szCs w:val="24"/>
        </w:rPr>
        <w:t>100</w:t>
      </w:r>
      <w:r>
        <w:rPr>
          <w:rFonts w:hint="eastAsia" w:ascii="仿宋_GB2312" w:hAnsi="仿宋_GB2312" w:eastAsia="仿宋_GB2312"/>
          <w:color w:val="auto"/>
          <w:kern w:val="2"/>
          <w:sz w:val="32"/>
          <w:szCs w:val="24"/>
        </w:rPr>
        <w:t>%</w:t>
      </w:r>
      <w:r>
        <w:rPr>
          <w:rFonts w:hint="eastAsia" w:ascii="仿宋_GB2312" w:hAnsi="仿宋_GB2312" w:eastAsia="仿宋_GB2312"/>
          <w:color w:val="auto"/>
          <w:kern w:val="2"/>
          <w:sz w:val="32"/>
          <w:szCs w:val="24"/>
          <w:lang w:eastAsia="zh-CN"/>
        </w:rPr>
        <w:t>。</w:t>
      </w:r>
      <w:r>
        <w:rPr>
          <w:rFonts w:hint="eastAsia" w:ascii="仿宋_GB2312" w:hAnsi="仿宋_GB2312" w:eastAsia="仿宋_GB2312"/>
          <w:color w:val="auto"/>
          <w:kern w:val="2"/>
          <w:sz w:val="32"/>
          <w:szCs w:val="24"/>
        </w:rPr>
        <w:t>组织对</w:t>
      </w:r>
      <w:r>
        <w:rPr>
          <w:rFonts w:hint="default" w:ascii="仿宋_GB2312" w:hAnsi="仿宋_GB2312" w:eastAsia="仿宋_GB2312"/>
          <w:color w:val="auto"/>
          <w:kern w:val="2"/>
          <w:sz w:val="32"/>
          <w:szCs w:val="24"/>
        </w:rPr>
        <w:t>“政府采购电子化服务平台“全区一张网”</w:t>
      </w:r>
      <w:r>
        <w:rPr>
          <w:rFonts w:hint="eastAsia" w:ascii="仿宋_GB2312" w:hAnsi="仿宋_GB2312" w:eastAsia="仿宋_GB2312"/>
          <w:color w:val="auto"/>
          <w:kern w:val="2"/>
          <w:sz w:val="32"/>
          <w:szCs w:val="24"/>
        </w:rPr>
        <w:t>项目</w:t>
      </w:r>
      <w:r>
        <w:rPr>
          <w:rFonts w:hint="default" w:ascii="仿宋_GB2312" w:hAnsi="仿宋_GB2312" w:eastAsia="仿宋_GB2312"/>
          <w:color w:val="auto"/>
          <w:kern w:val="2"/>
          <w:sz w:val="32"/>
          <w:szCs w:val="24"/>
        </w:rPr>
        <w:t>”</w:t>
      </w:r>
      <w:r>
        <w:rPr>
          <w:rFonts w:hint="eastAsia" w:ascii="仿宋_GB2312" w:hAnsi="仿宋_GB2312" w:eastAsia="仿宋_GB2312"/>
          <w:color w:val="auto"/>
          <w:kern w:val="2"/>
          <w:sz w:val="32"/>
          <w:szCs w:val="24"/>
        </w:rPr>
        <w:t>、</w:t>
      </w:r>
      <w:r>
        <w:rPr>
          <w:rFonts w:hint="default" w:ascii="仿宋_GB2312" w:hAnsi="仿宋_GB2312" w:eastAsia="仿宋_GB2312"/>
          <w:color w:val="auto"/>
          <w:kern w:val="2"/>
          <w:sz w:val="32"/>
          <w:szCs w:val="24"/>
        </w:rPr>
        <w:t>“国有资产及国有企业管理经费</w:t>
      </w:r>
      <w:r>
        <w:rPr>
          <w:rFonts w:hint="eastAsia" w:ascii="仿宋_GB2312" w:hAnsi="仿宋_GB2312" w:eastAsia="仿宋_GB2312"/>
          <w:color w:val="auto"/>
          <w:kern w:val="2"/>
          <w:sz w:val="32"/>
          <w:szCs w:val="24"/>
        </w:rPr>
        <w:t>项目</w:t>
      </w:r>
      <w:r>
        <w:rPr>
          <w:rFonts w:hint="default" w:ascii="仿宋_GB2312" w:hAnsi="仿宋_GB2312" w:eastAsia="仿宋_GB2312"/>
          <w:color w:val="auto"/>
          <w:kern w:val="2"/>
          <w:sz w:val="32"/>
          <w:szCs w:val="24"/>
        </w:rPr>
        <w:t>”</w:t>
      </w:r>
      <w:r>
        <w:rPr>
          <w:rFonts w:hint="eastAsia" w:ascii="仿宋_GB2312" w:hAnsi="仿宋_GB2312" w:eastAsia="仿宋_GB2312"/>
          <w:color w:val="auto"/>
          <w:kern w:val="2"/>
          <w:sz w:val="32"/>
          <w:szCs w:val="24"/>
        </w:rPr>
        <w:t>、</w:t>
      </w:r>
      <w:r>
        <w:rPr>
          <w:rFonts w:hint="default" w:ascii="仿宋_GB2312" w:hAnsi="仿宋_GB2312" w:eastAsia="仿宋_GB2312"/>
          <w:color w:val="auto"/>
          <w:kern w:val="2"/>
          <w:sz w:val="32"/>
          <w:szCs w:val="24"/>
        </w:rPr>
        <w:t>“财政专项工作经费</w:t>
      </w:r>
      <w:r>
        <w:rPr>
          <w:rFonts w:hint="eastAsia" w:ascii="仿宋_GB2312" w:hAnsi="仿宋_GB2312" w:eastAsia="仿宋_GB2312"/>
          <w:color w:val="auto"/>
          <w:kern w:val="2"/>
          <w:sz w:val="32"/>
          <w:szCs w:val="24"/>
        </w:rPr>
        <w:t>项目</w:t>
      </w:r>
      <w:r>
        <w:rPr>
          <w:rFonts w:hint="default" w:ascii="仿宋_GB2312" w:hAnsi="仿宋_GB2312" w:eastAsia="仿宋_GB2312"/>
          <w:color w:val="auto"/>
          <w:kern w:val="2"/>
          <w:sz w:val="32"/>
          <w:szCs w:val="24"/>
        </w:rPr>
        <w:t>”</w:t>
      </w:r>
      <w:r>
        <w:rPr>
          <w:rFonts w:hint="eastAsia" w:ascii="仿宋_GB2312" w:hAnsi="仿宋_GB2312" w:eastAsia="仿宋_GB2312"/>
          <w:color w:val="auto"/>
          <w:kern w:val="2"/>
          <w:sz w:val="32"/>
          <w:szCs w:val="24"/>
        </w:rPr>
        <w:t>等</w:t>
      </w:r>
      <w:r>
        <w:rPr>
          <w:rFonts w:hint="default" w:ascii="仿宋_GB2312" w:hAnsi="仿宋_GB2312" w:eastAsia="仿宋_GB2312"/>
          <w:color w:val="auto"/>
          <w:kern w:val="2"/>
          <w:sz w:val="32"/>
          <w:szCs w:val="24"/>
        </w:rPr>
        <w:t xml:space="preserve">  </w:t>
      </w:r>
      <w:r>
        <w:rPr>
          <w:rFonts w:hint="eastAsia" w:ascii="仿宋_GB2312" w:hAnsi="仿宋_GB2312" w:eastAsia="仿宋_GB2312"/>
          <w:color w:val="auto"/>
          <w:kern w:val="2"/>
          <w:sz w:val="32"/>
          <w:szCs w:val="24"/>
          <w:lang w:val="en-US" w:eastAsia="zh-CN"/>
        </w:rPr>
        <w:t>8</w:t>
      </w:r>
      <w:r>
        <w:rPr>
          <w:rFonts w:hint="default" w:ascii="仿宋_GB2312" w:hAnsi="仿宋_GB2312" w:eastAsia="仿宋_GB2312"/>
          <w:color w:val="auto"/>
          <w:kern w:val="2"/>
          <w:sz w:val="32"/>
          <w:szCs w:val="24"/>
        </w:rPr>
        <w:t xml:space="preserve"> </w:t>
      </w:r>
      <w:r>
        <w:rPr>
          <w:rFonts w:hint="eastAsia" w:ascii="仿宋_GB2312" w:hAnsi="仿宋_GB2312" w:eastAsia="仿宋_GB2312"/>
          <w:color w:val="auto"/>
          <w:kern w:val="2"/>
          <w:sz w:val="32"/>
          <w:szCs w:val="24"/>
        </w:rPr>
        <w:t>个项目开展了部门评价涉及一般公共预算支出</w:t>
      </w:r>
      <w:r>
        <w:rPr>
          <w:rFonts w:hint="default" w:ascii="仿宋_GB2312" w:hAnsi="仿宋_GB2312" w:eastAsia="仿宋_GB2312"/>
          <w:color w:val="auto"/>
          <w:kern w:val="2"/>
          <w:sz w:val="32"/>
          <w:szCs w:val="24"/>
        </w:rPr>
        <w:t xml:space="preserve"> </w:t>
      </w:r>
      <w:r>
        <w:rPr>
          <w:rFonts w:hint="eastAsia" w:ascii="仿宋_GB2312" w:hAnsi="仿宋_GB2312" w:eastAsia="仿宋_GB2312"/>
          <w:color w:val="auto"/>
          <w:kern w:val="2"/>
          <w:sz w:val="32"/>
          <w:szCs w:val="24"/>
          <w:lang w:val="en-US" w:eastAsia="zh-CN"/>
        </w:rPr>
        <w:t>596.67</w:t>
      </w:r>
      <w:r>
        <w:rPr>
          <w:rFonts w:hint="default" w:ascii="仿宋_GB2312" w:hAnsi="仿宋_GB2312" w:eastAsia="仿宋_GB2312"/>
          <w:color w:val="auto"/>
          <w:kern w:val="2"/>
          <w:sz w:val="32"/>
          <w:szCs w:val="24"/>
        </w:rPr>
        <w:t xml:space="preserve"> </w:t>
      </w:r>
      <w:r>
        <w:rPr>
          <w:rFonts w:hint="eastAsia" w:ascii="仿宋_GB2312" w:hAnsi="仿宋_GB2312" w:eastAsia="仿宋_GB2312"/>
          <w:color w:val="auto"/>
          <w:kern w:val="2"/>
          <w:sz w:val="32"/>
          <w:szCs w:val="24"/>
        </w:rPr>
        <w:t>万元，政府性基金支出</w:t>
      </w:r>
      <w:r>
        <w:rPr>
          <w:rFonts w:hint="default" w:ascii="仿宋_GB2312" w:hAnsi="仿宋_GB2312" w:eastAsia="仿宋_GB2312"/>
          <w:color w:val="auto"/>
          <w:kern w:val="2"/>
          <w:sz w:val="32"/>
          <w:szCs w:val="24"/>
        </w:rPr>
        <w:t xml:space="preserve">   </w:t>
      </w:r>
      <w:r>
        <w:rPr>
          <w:rFonts w:hint="eastAsia" w:ascii="仿宋_GB2312" w:hAnsi="仿宋_GB2312" w:eastAsia="仿宋_GB2312"/>
          <w:color w:val="auto"/>
          <w:kern w:val="2"/>
          <w:sz w:val="32"/>
          <w:szCs w:val="24"/>
          <w:lang w:val="en-US" w:eastAsia="zh-CN"/>
        </w:rPr>
        <w:t>0</w:t>
      </w:r>
      <w:r>
        <w:rPr>
          <w:rFonts w:hint="default" w:ascii="仿宋_GB2312" w:hAnsi="仿宋_GB2312" w:eastAsia="仿宋_GB2312"/>
          <w:color w:val="auto"/>
          <w:kern w:val="2"/>
          <w:sz w:val="32"/>
          <w:szCs w:val="24"/>
        </w:rPr>
        <w:t xml:space="preserve"> </w:t>
      </w:r>
      <w:r>
        <w:rPr>
          <w:rFonts w:hint="eastAsia" w:ascii="仿宋_GB2312" w:hAnsi="仿宋_GB2312" w:eastAsia="仿宋_GB2312"/>
          <w:color w:val="auto"/>
          <w:kern w:val="2"/>
          <w:sz w:val="32"/>
          <w:szCs w:val="24"/>
        </w:rPr>
        <w:t>万元。从评价情况看，以上项目</w:t>
      </w:r>
      <w:r>
        <w:rPr>
          <w:rFonts w:hint="eastAsia" w:ascii="仿宋_GB2312" w:hAnsi="仿宋_GB2312" w:eastAsia="仿宋_GB2312"/>
          <w:color w:val="auto"/>
          <w:kern w:val="2"/>
          <w:sz w:val="32"/>
          <w:szCs w:val="24"/>
          <w:lang w:val="en-US" w:eastAsia="zh-CN"/>
        </w:rPr>
        <w:t>开展绩效评价使制度执行较有效：在项目实施过程中，项目单位总体上能够按照相关法律法规、业务管理制度开展工作，项目业务管理制度执行较有效；资金使用较合规：项目会计核算执行《政府会计制度》，会计科目基本按照《政府会计制度》相关规定设置，记录和反映项目资全支出情况，资金使用较规范。财务监控较有效：项目对经费支出采取了必要的监控措施，按照相关规章制度，采取措施确保项目资金的使用符合规定程序，监控工作较有效。</w:t>
      </w:r>
    </w:p>
    <w:p>
      <w:pPr>
        <w:spacing w:beforeLines="0" w:afterLines="0" w:line="560" w:lineRule="exact"/>
        <w:ind w:firstLine="640"/>
        <w:jc w:val="both"/>
        <w:rPr>
          <w:rFonts w:hint="eastAsia" w:ascii="仿宋_GB2312" w:hAnsi="仿宋_GB2312" w:eastAsia="仿宋_GB2312"/>
          <w:color w:val="auto"/>
          <w:kern w:val="2"/>
          <w:sz w:val="32"/>
          <w:szCs w:val="24"/>
          <w:lang w:val="en-US" w:eastAsia="zh-CN"/>
        </w:rPr>
      </w:pPr>
      <w:r>
        <w:rPr>
          <w:rFonts w:hint="eastAsia" w:ascii="仿宋_GB2312" w:hAnsi="仿宋_GB2312" w:eastAsia="仿宋_GB2312"/>
          <w:color w:val="auto"/>
          <w:kern w:val="2"/>
          <w:sz w:val="32"/>
          <w:szCs w:val="24"/>
          <w:lang w:val="en-US" w:eastAsia="zh-CN"/>
        </w:rPr>
        <w:t>同时在自评过程中发现，部分工作预算偏高，财务人员对具体的业务了解不够，结果在实际工作中，导致费用预算不均衡。下一步加强预算绩效编制工作，充分履行主体责任，加强沟通协调，形成齐抓共管、职责分明，各负其责、有序推进的工作局面，努力提升我单位预算绩效管理水平。</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lang w:val="en-US" w:eastAsia="zh-CN"/>
        </w:rPr>
        <w:t>评价工作完成后，我局及时整理、归纳、分析绩效评价结果，并且作为改进预算管理和以后年度预算的重要依据。根据评价结果，改进管理措施、完善管理办法、调整和优化预算支出结构，合理配置资源，对绩效评价中发现的问题，及时制定整改措施。加强项目的计划管理，加快项目资金的使用进度，提高财政资金的使用效率，加强财务监控，对项目资金进行事前、事中、事后的检查分析，确保项目资金安全有效运行。</w:t>
      </w:r>
    </w:p>
    <w:p>
      <w:pPr>
        <w:spacing w:beforeLines="0" w:afterLines="0"/>
        <w:ind w:firstLine="643"/>
        <w:jc w:val="both"/>
        <w:rPr>
          <w:rFonts w:hint="default" w:ascii="Times New Roman" w:hAnsi="Times New Roman" w:eastAsia="Times New Roman"/>
          <w:b/>
          <w:color w:val="auto"/>
          <w:kern w:val="2"/>
          <w:sz w:val="32"/>
          <w:szCs w:val="24"/>
        </w:rPr>
      </w:pPr>
      <w:r>
        <w:rPr>
          <w:rFonts w:hint="eastAsia" w:ascii="楷体" w:hAnsi="楷体" w:eastAsia="楷体"/>
          <w:b/>
          <w:color w:val="auto"/>
          <w:kern w:val="2"/>
          <w:sz w:val="32"/>
          <w:szCs w:val="24"/>
        </w:rPr>
        <w:t>（二）部门决算中项目绩效自评结果。</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内蒙古自治区巴彦淖尔市财政局部门2022年度在决算中反映</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14</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个一般公共预算项目，以及</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0</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个政府性基金项目，共</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8</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个项目的绩效自评结果。</w:t>
      </w:r>
    </w:p>
    <w:p>
      <w:pPr>
        <w:numPr>
          <w:ilvl w:val="0"/>
          <w:numId w:val="2"/>
        </w:numPr>
        <w:spacing w:line="580" w:lineRule="exact"/>
        <w:ind w:left="120" w:leftChars="0" w:firstLine="600" w:firstLineChars="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财政专项工作经费项目自评综述：根据年初设定的绩效目标，项目自评得分</w:t>
      </w:r>
      <w:r>
        <w:rPr>
          <w:rFonts w:hint="eastAsia" w:ascii="仿宋_GB2312" w:hAnsi="Times New Roman" w:eastAsia="仿宋_GB2312" w:cs="仿宋_GB2312"/>
          <w:sz w:val="32"/>
          <w:szCs w:val="32"/>
          <w:lang w:val="en-US" w:eastAsia="zh-CN"/>
        </w:rPr>
        <w:t>98.88</w:t>
      </w:r>
      <w:r>
        <w:rPr>
          <w:rFonts w:hint="eastAsia" w:ascii="仿宋_GB2312" w:hAnsi="Times New Roman" w:eastAsia="仿宋_GB2312" w:cs="仿宋_GB2312"/>
          <w:sz w:val="32"/>
          <w:szCs w:val="32"/>
        </w:rPr>
        <w:t>分。全年预算数为272万元，执行数为</w:t>
      </w:r>
      <w:r>
        <w:rPr>
          <w:rFonts w:hint="eastAsia" w:ascii="仿宋_GB2312" w:hAnsi="Times New Roman" w:eastAsia="仿宋_GB2312" w:cs="仿宋_GB2312"/>
          <w:sz w:val="32"/>
          <w:szCs w:val="32"/>
          <w:lang w:val="en-US" w:eastAsia="zh-CN"/>
        </w:rPr>
        <w:t>268.67</w:t>
      </w:r>
      <w:r>
        <w:rPr>
          <w:rFonts w:hint="eastAsia" w:ascii="仿宋_GB2312" w:hAnsi="Times New Roman" w:eastAsia="仿宋_GB2312" w:cs="仿宋_GB2312"/>
          <w:sz w:val="32"/>
          <w:szCs w:val="32"/>
        </w:rPr>
        <w:t>万元，完成预算的</w:t>
      </w:r>
      <w:r>
        <w:rPr>
          <w:rFonts w:hint="eastAsia" w:ascii="仿宋_GB2312" w:hAnsi="Times New Roman" w:eastAsia="仿宋_GB2312" w:cs="仿宋_GB2312"/>
          <w:sz w:val="32"/>
          <w:szCs w:val="32"/>
          <w:lang w:val="en-US" w:eastAsia="zh-CN"/>
        </w:rPr>
        <w:t>98.78</w:t>
      </w:r>
      <w:r>
        <w:rPr>
          <w:rFonts w:hint="eastAsia" w:ascii="仿宋_GB2312" w:hAnsi="Times New Roman" w:eastAsia="仿宋_GB2312" w:cs="仿宋_GB2312"/>
          <w:sz w:val="32"/>
          <w:szCs w:val="32"/>
        </w:rPr>
        <w:t>%。项目绩效目标完成情况：专项检查涉及旗县区7个，实际完成指标值7个；检查问题整改率100%实际完成指标值100%。发现的主要问题及原因：预算编制测算</w:t>
      </w:r>
      <w:r>
        <w:rPr>
          <w:rFonts w:hint="eastAsia" w:ascii="仿宋_GB2312" w:hAnsi="Times New Roman" w:eastAsia="仿宋_GB2312" w:cs="仿宋_GB2312"/>
          <w:sz w:val="32"/>
          <w:szCs w:val="32"/>
          <w:lang w:val="en-US" w:eastAsia="zh-CN"/>
        </w:rPr>
        <w:t>的政府经济分类与</w:t>
      </w:r>
      <w:r>
        <w:rPr>
          <w:rFonts w:hint="eastAsia" w:ascii="仿宋_GB2312" w:hAnsi="Times New Roman" w:eastAsia="仿宋_GB2312" w:cs="仿宋_GB2312"/>
          <w:sz w:val="32"/>
          <w:szCs w:val="32"/>
        </w:rPr>
        <w:t>实际</w:t>
      </w:r>
      <w:r>
        <w:rPr>
          <w:rFonts w:hint="eastAsia" w:ascii="仿宋_GB2312" w:hAnsi="Times New Roman" w:eastAsia="仿宋_GB2312" w:cs="仿宋_GB2312"/>
          <w:sz w:val="32"/>
          <w:szCs w:val="32"/>
          <w:lang w:val="en-US" w:eastAsia="zh-CN"/>
        </w:rPr>
        <w:t>业务支出政府经济分类</w:t>
      </w:r>
      <w:r>
        <w:rPr>
          <w:rFonts w:hint="eastAsia" w:ascii="仿宋_GB2312" w:hAnsi="Times New Roman" w:eastAsia="仿宋_GB2312" w:cs="仿宋_GB2312"/>
          <w:sz w:val="32"/>
          <w:szCs w:val="32"/>
        </w:rPr>
        <w:t>存在偏差。下一步改进措施：培养绩效管理氛围，加强理论研究，提高思想认识，扩大舆论宣传，尽快让预算绩效理念深入人心，形成讲绩效、重绩效的浓厚氛围。</w:t>
      </w:r>
    </w:p>
    <w:p>
      <w:pPr>
        <w:numPr>
          <w:ilvl w:val="0"/>
          <w:numId w:val="2"/>
        </w:numPr>
        <w:spacing w:line="580" w:lineRule="exact"/>
        <w:ind w:left="120" w:leftChars="0" w:firstLine="600" w:firstLineChars="0"/>
        <w:rPr>
          <w:rFonts w:hint="eastAsia"/>
        </w:rPr>
      </w:pPr>
      <w:r>
        <w:rPr>
          <w:rFonts w:hint="eastAsia" w:ascii="仿宋_GB2312" w:hAnsi="仿宋_GB2312" w:eastAsia="仿宋_GB2312"/>
          <w:color w:val="auto"/>
          <w:kern w:val="2"/>
          <w:sz w:val="32"/>
          <w:szCs w:val="24"/>
          <w:lang w:val="en-US" w:eastAsia="zh-CN"/>
        </w:rPr>
        <w:t xml:space="preserve"> </w:t>
      </w:r>
      <w:r>
        <w:rPr>
          <w:rFonts w:hint="eastAsia" w:ascii="仿宋_GB2312" w:hAnsi="Times New Roman" w:eastAsia="仿宋_GB2312" w:cs="仿宋_GB2312"/>
          <w:sz w:val="32"/>
          <w:szCs w:val="32"/>
        </w:rPr>
        <w:t>会计培训考试等业务专项项目自评综述：根据年初设定的绩效目标，项目自评得分</w:t>
      </w:r>
      <w:r>
        <w:rPr>
          <w:rFonts w:hint="eastAsia" w:ascii="仿宋_GB2312" w:hAnsi="Times New Roman" w:eastAsia="仿宋_GB2312" w:cs="仿宋_GB2312"/>
          <w:sz w:val="32"/>
          <w:szCs w:val="32"/>
          <w:lang w:val="en-US" w:eastAsia="zh-CN"/>
        </w:rPr>
        <w:t>99.44</w:t>
      </w:r>
      <w:r>
        <w:rPr>
          <w:rFonts w:hint="eastAsia" w:ascii="仿宋_GB2312" w:hAnsi="Times New Roman" w:eastAsia="仿宋_GB2312" w:cs="仿宋_GB2312"/>
          <w:sz w:val="32"/>
          <w:szCs w:val="32"/>
        </w:rPr>
        <w:t>分。全年预算数为</w:t>
      </w:r>
      <w:r>
        <w:rPr>
          <w:rFonts w:hint="eastAsia" w:ascii="仿宋_GB2312" w:hAnsi="Times New Roman" w:eastAsia="仿宋_GB2312" w:cs="仿宋_GB2312"/>
          <w:sz w:val="32"/>
          <w:szCs w:val="32"/>
          <w:lang w:val="en-US" w:eastAsia="zh-CN"/>
        </w:rPr>
        <w:t>69.7</w:t>
      </w:r>
      <w:r>
        <w:rPr>
          <w:rFonts w:hint="eastAsia" w:ascii="仿宋_GB2312" w:hAnsi="Times New Roman" w:eastAsia="仿宋_GB2312" w:cs="仿宋_GB2312"/>
          <w:sz w:val="32"/>
          <w:szCs w:val="32"/>
        </w:rPr>
        <w:t>万元，执行数为</w:t>
      </w:r>
      <w:r>
        <w:rPr>
          <w:rFonts w:hint="eastAsia" w:ascii="仿宋_GB2312" w:hAnsi="Times New Roman" w:eastAsia="仿宋_GB2312" w:cs="仿宋_GB2312"/>
          <w:sz w:val="32"/>
          <w:szCs w:val="32"/>
          <w:lang w:val="en-US" w:eastAsia="zh-CN"/>
        </w:rPr>
        <w:t>69.31</w:t>
      </w:r>
      <w:r>
        <w:rPr>
          <w:rFonts w:hint="eastAsia" w:ascii="仿宋_GB2312" w:hAnsi="Times New Roman" w:eastAsia="仿宋_GB2312" w:cs="仿宋_GB2312"/>
          <w:sz w:val="32"/>
          <w:szCs w:val="32"/>
        </w:rPr>
        <w:t>万元，完成预算的</w:t>
      </w:r>
      <w:r>
        <w:rPr>
          <w:rFonts w:hint="eastAsia" w:ascii="仿宋_GB2312" w:hAnsi="Times New Roman" w:eastAsia="仿宋_GB2312" w:cs="仿宋_GB2312"/>
          <w:sz w:val="32"/>
          <w:szCs w:val="32"/>
          <w:lang w:val="en-US" w:eastAsia="zh-CN"/>
        </w:rPr>
        <w:t>99.44</w:t>
      </w:r>
      <w:r>
        <w:rPr>
          <w:rFonts w:hint="eastAsia" w:ascii="仿宋_GB2312" w:hAnsi="Times New Roman" w:eastAsia="仿宋_GB2312" w:cs="仿宋_GB2312"/>
          <w:sz w:val="32"/>
          <w:szCs w:val="32"/>
        </w:rPr>
        <w:t>%。项目绩效目标完成情况：（简述核心绩效指标完成情况）。内控编报汇总完成时限≤15天，实际完成≤15天，考试报名人数预期≥8000人次，实际≥8000人次，发现的主要问题及原因：预算编制测算还不够精确，编制依据和测算深度不够，实际执行项目预算绩效存在偏差。下一步改进措施：培养绩效管理氛围，加强理论研究，提高思想认识，扩大舆论宣传，尽快让预算绩效理念深入人心，形成讲绩效、重绩效的浓厚氛围。</w:t>
      </w:r>
    </w:p>
    <w:p>
      <w:pPr>
        <w:numPr>
          <w:ilvl w:val="0"/>
          <w:numId w:val="3"/>
        </w:numPr>
        <w:spacing w:line="580" w:lineRule="exact"/>
        <w:ind w:left="240" w:leftChars="0" w:firstLine="600" w:firstLineChars="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国有资产及国有企业管理专项经费项目自评综述：根据年初设定的绩效目标，项目自评得分</w:t>
      </w:r>
      <w:r>
        <w:rPr>
          <w:rFonts w:hint="eastAsia" w:ascii="仿宋_GB2312" w:hAnsi="Times New Roman" w:eastAsia="仿宋_GB2312" w:cs="仿宋_GB2312"/>
          <w:sz w:val="32"/>
          <w:szCs w:val="32"/>
          <w:lang w:val="en-US" w:eastAsia="zh-CN"/>
        </w:rPr>
        <w:t>90.48</w:t>
      </w:r>
      <w:r>
        <w:rPr>
          <w:rFonts w:hint="eastAsia" w:ascii="仿宋_GB2312" w:hAnsi="Times New Roman" w:eastAsia="仿宋_GB2312" w:cs="仿宋_GB2312"/>
          <w:sz w:val="32"/>
          <w:szCs w:val="32"/>
        </w:rPr>
        <w:t>分。全年预算数为</w:t>
      </w:r>
      <w:r>
        <w:rPr>
          <w:rFonts w:hint="eastAsia" w:ascii="仿宋_GB2312" w:hAnsi="Times New Roman" w:eastAsia="仿宋_GB2312" w:cs="仿宋_GB2312"/>
          <w:sz w:val="32"/>
          <w:szCs w:val="32"/>
          <w:lang w:val="en-US" w:eastAsia="zh-CN"/>
        </w:rPr>
        <w:t>100</w:t>
      </w:r>
      <w:r>
        <w:rPr>
          <w:rFonts w:hint="eastAsia" w:ascii="仿宋_GB2312" w:hAnsi="Times New Roman" w:eastAsia="仿宋_GB2312" w:cs="仿宋_GB2312"/>
          <w:sz w:val="32"/>
          <w:szCs w:val="32"/>
        </w:rPr>
        <w:t>万元，执行数为</w:t>
      </w:r>
      <w:r>
        <w:rPr>
          <w:rFonts w:hint="eastAsia" w:ascii="仿宋_GB2312" w:hAnsi="Times New Roman" w:eastAsia="仿宋_GB2312" w:cs="仿宋_GB2312"/>
          <w:sz w:val="32"/>
          <w:szCs w:val="32"/>
          <w:lang w:val="en-US" w:eastAsia="zh-CN"/>
        </w:rPr>
        <w:t>54.76</w:t>
      </w:r>
      <w:r>
        <w:rPr>
          <w:rFonts w:hint="eastAsia" w:ascii="仿宋_GB2312" w:hAnsi="Times New Roman" w:eastAsia="仿宋_GB2312" w:cs="仿宋_GB2312"/>
          <w:sz w:val="32"/>
          <w:szCs w:val="32"/>
        </w:rPr>
        <w:t>万元，完成预算的</w:t>
      </w:r>
      <w:r>
        <w:rPr>
          <w:rFonts w:hint="eastAsia" w:ascii="仿宋_GB2312" w:hAnsi="Times New Roman" w:eastAsia="仿宋_GB2312" w:cs="仿宋_GB2312"/>
          <w:sz w:val="32"/>
          <w:szCs w:val="32"/>
          <w:lang w:val="en-US" w:eastAsia="zh-CN"/>
        </w:rPr>
        <w:t>54.76</w:t>
      </w:r>
      <w:r>
        <w:rPr>
          <w:rFonts w:hint="eastAsia" w:ascii="仿宋_GB2312" w:hAnsi="Times New Roman" w:eastAsia="仿宋_GB2312" w:cs="仿宋_GB2312"/>
          <w:sz w:val="32"/>
          <w:szCs w:val="32"/>
        </w:rPr>
        <w:t>%。项目绩效目标完成情况：落实国企改革三年行动工作部署，通过系统实时监管，有效掌握国企动态，切实提升改革综合成效，增强国有经济竞争力、创新力、控制力、影响力、抗风险能力。发现的主要问题及原因：预算编制测算还不够精确，编制依据和测算深度不够，实际执行项目预算绩效存在偏差。下一步改进措施：培养绩效管理氛围，加强理论研究，提高思想认识，扩大舆论宣传，尽快让预算绩效理念深入人心，形成讲绩效、重绩效的浓厚氛围。</w:t>
      </w:r>
    </w:p>
    <w:p>
      <w:pPr>
        <w:numPr>
          <w:ilvl w:val="0"/>
          <w:numId w:val="3"/>
        </w:numPr>
        <w:spacing w:line="580" w:lineRule="exact"/>
        <w:ind w:left="240" w:leftChars="0" w:firstLine="600" w:firstLineChars="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非税</w:t>
      </w:r>
      <w:r>
        <w:rPr>
          <w:rFonts w:hint="eastAsia" w:ascii="仿宋_GB2312" w:hAnsi="Times New Roman" w:eastAsia="仿宋_GB2312" w:cs="仿宋_GB2312"/>
          <w:sz w:val="32"/>
          <w:szCs w:val="32"/>
          <w:lang w:eastAsia="zh-CN"/>
        </w:rPr>
        <w:t>收入收缴电子化</w:t>
      </w:r>
      <w:r>
        <w:rPr>
          <w:rFonts w:hint="eastAsia" w:ascii="仿宋_GB2312" w:hAnsi="Times New Roman" w:eastAsia="仿宋_GB2312" w:cs="仿宋_GB2312"/>
          <w:sz w:val="32"/>
          <w:szCs w:val="32"/>
        </w:rPr>
        <w:t>专项经费项目自评综述：根据年初设定的绩效目标</w:t>
      </w:r>
      <w:r>
        <w:rPr>
          <w:rFonts w:hint="eastAsia" w:ascii="仿宋_GB2312" w:hAnsi="Times New Roman" w:eastAsia="仿宋_GB2312" w:cs="仿宋_GB2312"/>
          <w:sz w:val="32"/>
          <w:szCs w:val="32"/>
          <w:lang w:val="en-US" w:eastAsia="zh-CN"/>
        </w:rPr>
        <w:t>加强新政府会计制度实施情况的调研工作。了解新《政府会计制度》在巴彦淖尔地区实施进展情况，根据实施过程中存在的实际困难、问题和建议，有效加强财务管理。</w:t>
      </w:r>
      <w:r>
        <w:rPr>
          <w:rFonts w:hint="eastAsia" w:ascii="仿宋_GB2312" w:hAnsi="Times New Roman" w:eastAsia="仿宋_GB2312" w:cs="仿宋_GB2312"/>
          <w:sz w:val="32"/>
          <w:szCs w:val="32"/>
        </w:rPr>
        <w:t>项目自评得分</w:t>
      </w:r>
      <w:r>
        <w:rPr>
          <w:rFonts w:hint="eastAsia" w:ascii="仿宋_GB2312" w:hAnsi="Times New Roman" w:eastAsia="仿宋_GB2312" w:cs="仿宋_GB2312"/>
          <w:sz w:val="32"/>
          <w:szCs w:val="32"/>
          <w:lang w:val="en-US" w:eastAsia="zh-CN"/>
        </w:rPr>
        <w:t>90</w:t>
      </w:r>
      <w:r>
        <w:rPr>
          <w:rFonts w:hint="eastAsia" w:ascii="仿宋_GB2312" w:hAnsi="Times New Roman" w:eastAsia="仿宋_GB2312" w:cs="仿宋_GB2312"/>
          <w:sz w:val="32"/>
          <w:szCs w:val="32"/>
        </w:rPr>
        <w:t>分。全年预算数为</w:t>
      </w:r>
      <w:r>
        <w:rPr>
          <w:rFonts w:hint="eastAsia" w:ascii="仿宋_GB2312" w:hAnsi="Times New Roman" w:eastAsia="仿宋_GB2312" w:cs="仿宋_GB2312"/>
          <w:sz w:val="32"/>
          <w:szCs w:val="32"/>
          <w:lang w:val="en-US" w:eastAsia="zh-CN"/>
        </w:rPr>
        <w:t>6.25</w:t>
      </w:r>
      <w:r>
        <w:rPr>
          <w:rFonts w:hint="eastAsia" w:ascii="仿宋_GB2312" w:hAnsi="Times New Roman" w:eastAsia="仿宋_GB2312" w:cs="仿宋_GB2312"/>
          <w:sz w:val="32"/>
          <w:szCs w:val="32"/>
        </w:rPr>
        <w:t>万元，执行数为</w:t>
      </w:r>
      <w:r>
        <w:rPr>
          <w:rFonts w:hint="eastAsia" w:ascii="仿宋_GB2312" w:hAnsi="Times New Roman" w:eastAsia="仿宋_GB2312" w:cs="仿宋_GB2312"/>
          <w:sz w:val="32"/>
          <w:szCs w:val="32"/>
          <w:lang w:val="en-US" w:eastAsia="zh-CN"/>
        </w:rPr>
        <w:t>0</w:t>
      </w:r>
      <w:r>
        <w:rPr>
          <w:rFonts w:hint="eastAsia" w:ascii="仿宋_GB2312" w:hAnsi="Times New Roman" w:eastAsia="仿宋_GB2312" w:cs="仿宋_GB2312"/>
          <w:sz w:val="32"/>
          <w:szCs w:val="32"/>
        </w:rPr>
        <w:t>万元，完成预算的0%。</w:t>
      </w:r>
      <w:r>
        <w:rPr>
          <w:rFonts w:hint="eastAsia" w:ascii="仿宋_GB2312" w:hAnsi="Times New Roman" w:eastAsia="仿宋_GB2312" w:cs="仿宋_GB2312"/>
          <w:sz w:val="32"/>
          <w:szCs w:val="32"/>
          <w:lang w:val="en-US" w:eastAsia="zh-CN"/>
        </w:rPr>
        <w:t>因年末该项目资金支付手续不完备，当年未形成支出，次年支付。</w:t>
      </w:r>
      <w:r>
        <w:rPr>
          <w:rFonts w:hint="eastAsia" w:ascii="仿宋_GB2312" w:hAnsi="Times New Roman" w:eastAsia="仿宋_GB2312" w:cs="仿宋_GB2312"/>
          <w:sz w:val="32"/>
          <w:szCs w:val="32"/>
        </w:rPr>
        <w:t>下一步改进措施：培养绩效管理氛围，加强理论研究，提高思想认识，扩大舆论宣传，尽快让预算绩效理念深入人心，形成讲绩效、重绩效的浓厚氛围。</w:t>
      </w:r>
    </w:p>
    <w:p>
      <w:pPr>
        <w:numPr>
          <w:ilvl w:val="0"/>
          <w:numId w:val="3"/>
        </w:numPr>
        <w:spacing w:line="580" w:lineRule="exact"/>
        <w:ind w:left="240" w:leftChars="0" w:firstLine="600" w:firstLineChars="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lang w:eastAsia="zh-CN"/>
        </w:rPr>
        <w:t>政府采购电子化服务平台经费</w:t>
      </w:r>
      <w:r>
        <w:rPr>
          <w:rFonts w:hint="eastAsia" w:ascii="仿宋_GB2312" w:hAnsi="Times New Roman" w:eastAsia="仿宋_GB2312" w:cs="仿宋_GB2312"/>
          <w:sz w:val="32"/>
          <w:szCs w:val="32"/>
        </w:rPr>
        <w:t>项目自评综述：根据年初设定的绩效目标，项目自评得分</w:t>
      </w:r>
      <w:r>
        <w:rPr>
          <w:rFonts w:hint="eastAsia" w:ascii="仿宋_GB2312" w:hAnsi="Times New Roman" w:eastAsia="仿宋_GB2312" w:cs="仿宋_GB2312"/>
          <w:sz w:val="32"/>
          <w:szCs w:val="32"/>
          <w:lang w:val="en-US" w:eastAsia="zh-CN"/>
        </w:rPr>
        <w:t>95</w:t>
      </w:r>
      <w:r>
        <w:rPr>
          <w:rFonts w:hint="eastAsia" w:ascii="仿宋_GB2312" w:hAnsi="Times New Roman" w:eastAsia="仿宋_GB2312" w:cs="仿宋_GB2312"/>
          <w:sz w:val="32"/>
          <w:szCs w:val="32"/>
        </w:rPr>
        <w:t>分。全年预算数为</w:t>
      </w:r>
      <w:r>
        <w:rPr>
          <w:rFonts w:hint="eastAsia" w:ascii="仿宋_GB2312" w:hAnsi="Times New Roman" w:eastAsia="仿宋_GB2312" w:cs="仿宋_GB2312"/>
          <w:sz w:val="32"/>
          <w:szCs w:val="32"/>
          <w:lang w:val="en-US" w:eastAsia="zh-CN"/>
        </w:rPr>
        <w:t>55</w:t>
      </w:r>
      <w:r>
        <w:rPr>
          <w:rFonts w:hint="eastAsia" w:ascii="仿宋_GB2312" w:hAnsi="Times New Roman" w:eastAsia="仿宋_GB2312" w:cs="仿宋_GB2312"/>
          <w:sz w:val="32"/>
          <w:szCs w:val="32"/>
        </w:rPr>
        <w:t>万元，执行数为</w:t>
      </w:r>
      <w:r>
        <w:rPr>
          <w:rFonts w:hint="eastAsia" w:ascii="仿宋_GB2312" w:hAnsi="Times New Roman" w:eastAsia="仿宋_GB2312" w:cs="仿宋_GB2312"/>
          <w:sz w:val="32"/>
          <w:szCs w:val="32"/>
          <w:lang w:val="en-US" w:eastAsia="zh-CN"/>
        </w:rPr>
        <w:t>54.99</w:t>
      </w:r>
      <w:r>
        <w:rPr>
          <w:rFonts w:hint="eastAsia" w:ascii="仿宋_GB2312" w:hAnsi="Times New Roman" w:eastAsia="仿宋_GB2312" w:cs="仿宋_GB2312"/>
          <w:sz w:val="32"/>
          <w:szCs w:val="32"/>
        </w:rPr>
        <w:t>万元，完成预算的</w:t>
      </w:r>
      <w:r>
        <w:rPr>
          <w:rFonts w:hint="eastAsia" w:ascii="仿宋_GB2312" w:hAnsi="Times New Roman" w:eastAsia="仿宋_GB2312" w:cs="仿宋_GB2312"/>
          <w:sz w:val="32"/>
          <w:szCs w:val="32"/>
          <w:lang w:val="en-US" w:eastAsia="zh-CN"/>
        </w:rPr>
        <w:t>99.98</w:t>
      </w:r>
      <w:r>
        <w:rPr>
          <w:rFonts w:hint="eastAsia" w:ascii="仿宋_GB2312" w:hAnsi="Times New Roman" w:eastAsia="仿宋_GB2312" w:cs="仿宋_GB2312"/>
          <w:sz w:val="32"/>
          <w:szCs w:val="32"/>
        </w:rPr>
        <w:t>%。项目绩效目标完成情况：金财应用系统预期指标值7个，实际完成指标值7个，系统故障率预期≤1%，实际完成指标值≤1%。发现的主要问题及原因：预算编制测算还不够精确，实际执行</w:t>
      </w:r>
      <w:r>
        <w:rPr>
          <w:rFonts w:hint="eastAsia" w:ascii="仿宋_GB2312" w:hAnsi="Times New Roman" w:eastAsia="仿宋_GB2312" w:cs="仿宋_GB2312"/>
          <w:sz w:val="32"/>
          <w:szCs w:val="32"/>
          <w:lang w:val="en-US" w:eastAsia="zh-CN"/>
        </w:rPr>
        <w:t>政府经济分类与实际支出经济分类</w:t>
      </w:r>
      <w:r>
        <w:rPr>
          <w:rFonts w:hint="eastAsia" w:ascii="仿宋_GB2312" w:hAnsi="Times New Roman" w:eastAsia="仿宋_GB2312" w:cs="仿宋_GB2312"/>
          <w:sz w:val="32"/>
          <w:szCs w:val="32"/>
        </w:rPr>
        <w:t>项目预算绩效存在偏差。下一步改进措施：培养绩效管理氛围，加强理论研究，提高思想认识，扩大舆论宣传，尽快让预算绩效理念深入人心，形成讲绩效、重绩效的浓厚氛围。</w:t>
      </w:r>
    </w:p>
    <w:tbl>
      <w:tblPr>
        <w:tblW w:w="945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28"/>
        <w:gridCol w:w="683"/>
        <w:gridCol w:w="687"/>
        <w:gridCol w:w="756"/>
        <w:gridCol w:w="683"/>
        <w:gridCol w:w="683"/>
        <w:gridCol w:w="689"/>
        <w:gridCol w:w="689"/>
        <w:gridCol w:w="688"/>
        <w:gridCol w:w="685"/>
        <w:gridCol w:w="690"/>
        <w:gridCol w:w="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9453" w:type="dxa"/>
            <w:gridSpan w:val="1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财政专项工作项目支出绩效自评表</w:t>
            </w:r>
            <w:r>
              <w:rPr>
                <w:rFonts w:hint="eastAsia" w:ascii="宋体" w:hAnsi="宋体" w:eastAsia="宋体" w:cs="宋体"/>
                <w:b/>
                <w:bCs/>
                <w:i w:val="0"/>
                <w:iCs w:val="0"/>
                <w:color w:val="000000"/>
                <w:kern w:val="0"/>
                <w:sz w:val="40"/>
                <w:szCs w:val="40"/>
                <w:u w:val="none"/>
                <w:bdr w:val="none" w:color="auto" w:sz="0" w:space="0"/>
                <w:lang w:val="en-US" w:eastAsia="zh-CN" w:bidi="ar"/>
              </w:rPr>
              <w:br w:type="textWrapping"/>
            </w:r>
            <w:r>
              <w:rPr>
                <w:rFonts w:hint="eastAsia" w:ascii="宋体" w:hAnsi="宋体" w:eastAsia="宋体" w:cs="宋体"/>
                <w:b/>
                <w:bCs/>
                <w:i w:val="0"/>
                <w:iCs w:val="0"/>
                <w:color w:val="000000"/>
                <w:kern w:val="0"/>
                <w:sz w:val="40"/>
                <w:szCs w:val="40"/>
                <w:u w:val="none"/>
                <w:bdr w:val="none" w:color="auto" w:sz="0" w:space="0"/>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0" w:hRule="atLeast"/>
        </w:trPr>
        <w:tc>
          <w:tcPr>
            <w:tcW w:w="255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项目名称</w:t>
            </w:r>
          </w:p>
        </w:tc>
        <w:tc>
          <w:tcPr>
            <w:tcW w:w="6900" w:type="dxa"/>
            <w:gridSpan w:val="10"/>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财政专项工作经费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0" w:hRule="atLeast"/>
        </w:trPr>
        <w:tc>
          <w:tcPr>
            <w:tcW w:w="255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276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巴彦淖尔市财政局（部门）</w:t>
            </w:r>
          </w:p>
        </w:tc>
        <w:tc>
          <w:tcPr>
            <w:tcW w:w="13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实施单位</w:t>
            </w:r>
          </w:p>
        </w:tc>
        <w:tc>
          <w:tcPr>
            <w:tcW w:w="276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巴彦淖尔市财政局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0" w:hRule="atLeast"/>
        </w:trPr>
        <w:tc>
          <w:tcPr>
            <w:tcW w:w="2553"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项目资金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（万元）</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年初预算数</w:t>
            </w:r>
          </w:p>
        </w:tc>
        <w:tc>
          <w:tcPr>
            <w:tcW w:w="13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全年预算数</w:t>
            </w:r>
          </w:p>
        </w:tc>
        <w:tc>
          <w:tcPr>
            <w:tcW w:w="13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全年执行数</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分值</w:t>
            </w:r>
          </w:p>
        </w:tc>
        <w:tc>
          <w:tcPr>
            <w:tcW w:w="13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执行率（%）</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0" w:hRule="atLeast"/>
        </w:trPr>
        <w:tc>
          <w:tcPr>
            <w:tcW w:w="2553"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年度资金总额</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272.00</w:t>
            </w:r>
          </w:p>
        </w:tc>
        <w:tc>
          <w:tcPr>
            <w:tcW w:w="13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272.00</w:t>
            </w:r>
          </w:p>
        </w:tc>
        <w:tc>
          <w:tcPr>
            <w:tcW w:w="13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268.67</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13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98.78</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0" w:hRule="atLeast"/>
        </w:trPr>
        <w:tc>
          <w:tcPr>
            <w:tcW w:w="2553"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其中：财政拨款</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272.00</w:t>
            </w:r>
          </w:p>
        </w:tc>
        <w:tc>
          <w:tcPr>
            <w:tcW w:w="13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272.00</w:t>
            </w:r>
          </w:p>
        </w:tc>
        <w:tc>
          <w:tcPr>
            <w:tcW w:w="13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268.67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Arial" w:hAnsi="Arial" w:eastAsia="宋体" w:cs="Arial"/>
                <w:i w:val="0"/>
                <w:iCs w:val="0"/>
                <w:color w:val="222222"/>
                <w:sz w:val="19"/>
                <w:szCs w:val="19"/>
                <w:u w:val="none"/>
              </w:rPr>
            </w:pPr>
            <w:r>
              <w:rPr>
                <w:rFonts w:hint="default" w:ascii="Arial" w:hAnsi="Arial" w:eastAsia="宋体" w:cs="Arial"/>
                <w:i w:val="0"/>
                <w:iCs w:val="0"/>
                <w:color w:val="222222"/>
                <w:kern w:val="0"/>
                <w:sz w:val="19"/>
                <w:szCs w:val="19"/>
                <w:u w:val="none"/>
                <w:bdr w:val="none" w:color="auto" w:sz="0" w:space="0"/>
                <w:lang w:val="en-US" w:eastAsia="zh-CN" w:bidi="ar"/>
              </w:rPr>
              <w:t>——</w:t>
            </w:r>
          </w:p>
        </w:tc>
        <w:tc>
          <w:tcPr>
            <w:tcW w:w="13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98.78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222222"/>
                <w:sz w:val="19"/>
                <w:szCs w:val="19"/>
                <w:u w:val="none"/>
              </w:rPr>
            </w:pPr>
            <w:r>
              <w:rPr>
                <w:rFonts w:hint="default" w:ascii="Arial" w:hAnsi="Arial" w:eastAsia="宋体" w:cs="Arial"/>
                <w:i w:val="0"/>
                <w:iCs w:val="0"/>
                <w:color w:val="222222"/>
                <w:kern w:val="0"/>
                <w:sz w:val="19"/>
                <w:szCs w:val="19"/>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0" w:hRule="atLeast"/>
        </w:trPr>
        <w:tc>
          <w:tcPr>
            <w:tcW w:w="2553"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上年结转资金</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13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13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222222"/>
                <w:sz w:val="19"/>
                <w:szCs w:val="19"/>
                <w:u w:val="none"/>
              </w:rPr>
            </w:pPr>
            <w:r>
              <w:rPr>
                <w:rFonts w:hint="default" w:ascii="Arial" w:hAnsi="Arial" w:eastAsia="宋体" w:cs="Arial"/>
                <w:i w:val="0"/>
                <w:iCs w:val="0"/>
                <w:color w:val="222222"/>
                <w:kern w:val="0"/>
                <w:sz w:val="19"/>
                <w:szCs w:val="19"/>
                <w:u w:val="none"/>
                <w:bdr w:val="none" w:color="auto" w:sz="0" w:space="0"/>
                <w:lang w:val="en-US" w:eastAsia="zh-CN" w:bidi="ar"/>
              </w:rPr>
              <w:t>——</w:t>
            </w:r>
          </w:p>
        </w:tc>
        <w:tc>
          <w:tcPr>
            <w:tcW w:w="13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222222"/>
                <w:sz w:val="19"/>
                <w:szCs w:val="19"/>
                <w:u w:val="none"/>
              </w:rPr>
            </w:pPr>
            <w:r>
              <w:rPr>
                <w:rFonts w:hint="default" w:ascii="Arial" w:hAnsi="Arial" w:eastAsia="宋体" w:cs="Arial"/>
                <w:i w:val="0"/>
                <w:iCs w:val="0"/>
                <w:color w:val="222222"/>
                <w:kern w:val="0"/>
                <w:sz w:val="19"/>
                <w:szCs w:val="19"/>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0" w:hRule="atLeast"/>
        </w:trPr>
        <w:tc>
          <w:tcPr>
            <w:tcW w:w="2553"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其他资金</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13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13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222222"/>
                <w:sz w:val="19"/>
                <w:szCs w:val="19"/>
                <w:u w:val="none"/>
              </w:rPr>
            </w:pPr>
            <w:r>
              <w:rPr>
                <w:rFonts w:hint="default" w:ascii="Arial" w:hAnsi="Arial" w:eastAsia="宋体" w:cs="Arial"/>
                <w:i w:val="0"/>
                <w:iCs w:val="0"/>
                <w:color w:val="222222"/>
                <w:kern w:val="0"/>
                <w:sz w:val="19"/>
                <w:szCs w:val="19"/>
                <w:u w:val="none"/>
                <w:bdr w:val="none" w:color="auto" w:sz="0" w:space="0"/>
                <w:lang w:val="en-US" w:eastAsia="zh-CN" w:bidi="ar"/>
              </w:rPr>
              <w:t>——</w:t>
            </w:r>
          </w:p>
        </w:tc>
        <w:tc>
          <w:tcPr>
            <w:tcW w:w="13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222222"/>
                <w:sz w:val="19"/>
                <w:szCs w:val="19"/>
                <w:u w:val="none"/>
              </w:rPr>
            </w:pPr>
            <w:r>
              <w:rPr>
                <w:rFonts w:hint="default" w:ascii="Arial" w:hAnsi="Arial" w:eastAsia="宋体" w:cs="Arial"/>
                <w:i w:val="0"/>
                <w:iCs w:val="0"/>
                <w:color w:val="222222"/>
                <w:kern w:val="0"/>
                <w:sz w:val="19"/>
                <w:szCs w:val="19"/>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0" w:hRule="atLeast"/>
        </w:trPr>
        <w:tc>
          <w:tcPr>
            <w:tcW w:w="2553"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年度总体目标</w:t>
            </w:r>
          </w:p>
        </w:tc>
        <w:tc>
          <w:tcPr>
            <w:tcW w:w="3450"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预期目标</w:t>
            </w:r>
          </w:p>
        </w:tc>
        <w:tc>
          <w:tcPr>
            <w:tcW w:w="3450"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280" w:hRule="atLeast"/>
        </w:trPr>
        <w:tc>
          <w:tcPr>
            <w:tcW w:w="2553"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450"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目标1：做好全市财政内网维护及财政大楼的相关维修；</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目标2：组织召开全市财政工作会议、预算会议、决算会议；</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目标3：组织全市各类培训等；</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目标4：完成科室相关项目的专项检查调研。   </w:t>
            </w:r>
          </w:p>
        </w:tc>
        <w:tc>
          <w:tcPr>
            <w:tcW w:w="3450"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目标1：做好全市财政内网维护及财政大楼的相关维修；</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目标2：组织召开全市财政工作会议、预算会议、决算会议；</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目标3：组织全市各类培训等；</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目标4：完成科室相关项目的专项检查调研。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0" w:hRule="atLeast"/>
        </w:trPr>
        <w:tc>
          <w:tcPr>
            <w:tcW w:w="18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绩效指标</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一级指标</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二级指标</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三级指标</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指标性质</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指标方向</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年度指标值</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实际完成值</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计量单位</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分值</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得分</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1863"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绩效指标</w:t>
            </w:r>
          </w:p>
        </w:tc>
        <w:tc>
          <w:tcPr>
            <w:tcW w:w="690"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产出指标</w:t>
            </w:r>
          </w:p>
        </w:tc>
        <w:tc>
          <w:tcPr>
            <w:tcW w:w="690"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数量指标</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公车数量</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等于</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辆</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90"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1863"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专项检查涉及旗县区</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等于</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90"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1863"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决算会议</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等于</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次</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90"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1863"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年内培训人数</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2000</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2000</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人</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90"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1863"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购置办公设备台数</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台</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90"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1863"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质量指标</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检查问题整改率</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等于</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百分比</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90"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1863"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系统正常运行率</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百分比</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90"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1863"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培训合格率</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95</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95</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百分比</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90"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1863"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时效指标</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项目完成时间</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定性</w:t>
            </w:r>
          </w:p>
        </w:tc>
        <w:tc>
          <w:tcPr>
            <w:tcW w:w="690"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2022年12月</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2022年12月</w:t>
            </w:r>
          </w:p>
        </w:tc>
        <w:tc>
          <w:tcPr>
            <w:tcW w:w="690"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90"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1863"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培训完成时间</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定性</w:t>
            </w:r>
          </w:p>
        </w:tc>
        <w:tc>
          <w:tcPr>
            <w:tcW w:w="690"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2022年12月</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2022年12月</w:t>
            </w:r>
          </w:p>
        </w:tc>
        <w:tc>
          <w:tcPr>
            <w:tcW w:w="690"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90"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1863"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成本指标</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租车费</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反向</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小于等于</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400</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400</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元/日</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90"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1863"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人均劳务成本</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反向</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小于等于</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2500</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2500</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元/月</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90"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1863"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人均差旅成本</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反向</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小于等于</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200</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200</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元/日</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90"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1863"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人均接待成本</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反向</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小于等于</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80</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80</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元/次</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90"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1863"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公务用车运行维护成本</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反向</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小于等于</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15000</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15000</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元/辆</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90"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1863"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效益指标</w:t>
            </w:r>
          </w:p>
        </w:tc>
        <w:tc>
          <w:tcPr>
            <w:tcW w:w="690"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社会效益</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服务地方政府</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定性</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等于</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提升</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提升</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提升</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690"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1863"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服务全市各级部门</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定性</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等于</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提升</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提升</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提升</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690"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1863"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可持续影响</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项目持续发挥作用期限</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定性</w:t>
            </w:r>
          </w:p>
        </w:tc>
        <w:tc>
          <w:tcPr>
            <w:tcW w:w="690"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长期</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长期</w:t>
            </w:r>
          </w:p>
        </w:tc>
        <w:tc>
          <w:tcPr>
            <w:tcW w:w="690"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690"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1863"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满意度指标</w:t>
            </w:r>
          </w:p>
        </w:tc>
        <w:tc>
          <w:tcPr>
            <w:tcW w:w="690"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服务对象满意度</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上级主管部门满意度</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90</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90</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90"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1863"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社会公众满意度</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90</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90</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90"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7383" w:type="dxa"/>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总分</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99.88</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bl>
    <w:p>
      <w:pPr>
        <w:pStyle w:val="2"/>
        <w:numPr>
          <w:numId w:val="0"/>
        </w:numPr>
        <w:ind w:left="840" w:leftChars="0"/>
        <w:rPr>
          <w:rFonts w:hint="eastAsia"/>
        </w:rPr>
      </w:pPr>
    </w:p>
    <w:p>
      <w:pPr>
        <w:spacing w:beforeLines="0" w:afterLines="0" w:line="360" w:lineRule="auto"/>
        <w:ind w:firstLine="640" w:firstLineChars="200"/>
        <w:jc w:val="both"/>
        <w:rPr>
          <w:rFonts w:hint="eastAsia" w:ascii="仿宋_GB2312" w:hAnsi="仿宋_GB2312" w:eastAsia="仿宋_GB2312"/>
          <w:color w:val="auto"/>
          <w:kern w:val="2"/>
          <w:sz w:val="32"/>
          <w:szCs w:val="24"/>
        </w:rPr>
      </w:pPr>
    </w:p>
    <w:tbl>
      <w:tblPr>
        <w:tblW w:w="97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50"/>
        <w:gridCol w:w="35"/>
        <w:gridCol w:w="132"/>
        <w:gridCol w:w="667"/>
        <w:gridCol w:w="86"/>
        <w:gridCol w:w="22"/>
        <w:gridCol w:w="832"/>
        <w:gridCol w:w="37"/>
        <w:gridCol w:w="39"/>
        <w:gridCol w:w="835"/>
        <w:gridCol w:w="31"/>
        <w:gridCol w:w="304"/>
        <w:gridCol w:w="310"/>
        <w:gridCol w:w="218"/>
        <w:gridCol w:w="237"/>
        <w:gridCol w:w="157"/>
        <w:gridCol w:w="469"/>
        <w:gridCol w:w="139"/>
        <w:gridCol w:w="5"/>
        <w:gridCol w:w="441"/>
        <w:gridCol w:w="174"/>
        <w:gridCol w:w="25"/>
        <w:gridCol w:w="386"/>
        <w:gridCol w:w="204"/>
        <w:gridCol w:w="55"/>
        <w:gridCol w:w="337"/>
        <w:gridCol w:w="223"/>
        <w:gridCol w:w="85"/>
        <w:gridCol w:w="272"/>
        <w:gridCol w:w="257"/>
        <w:gridCol w:w="116"/>
        <w:gridCol w:w="312"/>
        <w:gridCol w:w="168"/>
        <w:gridCol w:w="165"/>
        <w:gridCol w:w="270"/>
        <w:gridCol w:w="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840" w:type="dxa"/>
          <w:trHeight w:val="960" w:hRule="atLeast"/>
        </w:trPr>
        <w:tc>
          <w:tcPr>
            <w:tcW w:w="8895" w:type="dxa"/>
            <w:gridSpan w:val="3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会计培训考试等业务项目支出绩效自评表</w:t>
            </w:r>
            <w:r>
              <w:rPr>
                <w:rFonts w:hint="eastAsia" w:ascii="宋体" w:hAnsi="宋体" w:eastAsia="宋体" w:cs="宋体"/>
                <w:b/>
                <w:bCs/>
                <w:i w:val="0"/>
                <w:iCs w:val="0"/>
                <w:color w:val="000000"/>
                <w:kern w:val="0"/>
                <w:sz w:val="40"/>
                <w:szCs w:val="40"/>
                <w:u w:val="none"/>
                <w:bdr w:val="none" w:color="auto" w:sz="0" w:space="0"/>
                <w:lang w:val="en-US" w:eastAsia="zh-CN" w:bidi="ar"/>
              </w:rPr>
              <w:br w:type="textWrapping"/>
            </w:r>
            <w:r>
              <w:rPr>
                <w:rFonts w:hint="eastAsia" w:ascii="宋体" w:hAnsi="宋体" w:eastAsia="宋体" w:cs="宋体"/>
                <w:b/>
                <w:bCs/>
                <w:i w:val="0"/>
                <w:iCs w:val="0"/>
                <w:color w:val="000000"/>
                <w:kern w:val="0"/>
                <w:sz w:val="40"/>
                <w:szCs w:val="40"/>
                <w:u w:val="none"/>
                <w:bdr w:val="none" w:color="auto" w:sz="0" w:space="0"/>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840" w:type="dxa"/>
          <w:trHeight w:val="380" w:hRule="atLeast"/>
        </w:trPr>
        <w:tc>
          <w:tcPr>
            <w:tcW w:w="1792"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项目名称</w:t>
            </w:r>
          </w:p>
        </w:tc>
        <w:tc>
          <w:tcPr>
            <w:tcW w:w="7103" w:type="dxa"/>
            <w:gridSpan w:val="2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会计培训考试等业务费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840" w:type="dxa"/>
          <w:trHeight w:val="380" w:hRule="atLeast"/>
        </w:trPr>
        <w:tc>
          <w:tcPr>
            <w:tcW w:w="1792"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469" w:type="dxa"/>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巴彦淖尔市财政局（部门）</w:t>
            </w:r>
          </w:p>
        </w:tc>
        <w:tc>
          <w:tcPr>
            <w:tcW w:w="1170"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实施单位</w:t>
            </w:r>
          </w:p>
        </w:tc>
        <w:tc>
          <w:tcPr>
            <w:tcW w:w="2464" w:type="dxa"/>
            <w:gridSpan w:val="1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巴彦淖尔市财政局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840" w:type="dxa"/>
          <w:trHeight w:val="380" w:hRule="atLeast"/>
        </w:trPr>
        <w:tc>
          <w:tcPr>
            <w:tcW w:w="1792" w:type="dxa"/>
            <w:gridSpan w:val="6"/>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项目资金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（万元）</w:t>
            </w:r>
          </w:p>
        </w:tc>
        <w:tc>
          <w:tcPr>
            <w:tcW w:w="869" w:type="dxa"/>
            <w:gridSpan w:val="2"/>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年初预算数</w:t>
            </w:r>
          </w:p>
        </w:tc>
        <w:tc>
          <w:tcPr>
            <w:tcW w:w="1726"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全年预算数</w:t>
            </w:r>
          </w:p>
        </w:tc>
        <w:tc>
          <w:tcPr>
            <w:tcW w:w="1170"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全年执行数</w:t>
            </w:r>
          </w:p>
        </w:tc>
        <w:tc>
          <w:tcPr>
            <w:tcW w:w="59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分值</w:t>
            </w:r>
          </w:p>
        </w:tc>
        <w:tc>
          <w:tcPr>
            <w:tcW w:w="1265"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执行率（%）</w:t>
            </w:r>
          </w:p>
        </w:tc>
        <w:tc>
          <w:tcPr>
            <w:tcW w:w="603"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840" w:type="dxa"/>
          <w:trHeight w:val="380" w:hRule="atLeast"/>
        </w:trPr>
        <w:tc>
          <w:tcPr>
            <w:tcW w:w="1792" w:type="dxa"/>
            <w:gridSpan w:val="6"/>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6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年度资金总额</w:t>
            </w:r>
          </w:p>
        </w:tc>
        <w:tc>
          <w:tcPr>
            <w:tcW w:w="87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69.70</w:t>
            </w:r>
          </w:p>
        </w:tc>
        <w:tc>
          <w:tcPr>
            <w:tcW w:w="1726"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69.70</w:t>
            </w:r>
          </w:p>
        </w:tc>
        <w:tc>
          <w:tcPr>
            <w:tcW w:w="1170"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69.31</w:t>
            </w:r>
          </w:p>
        </w:tc>
        <w:tc>
          <w:tcPr>
            <w:tcW w:w="59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1265"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99.44</w:t>
            </w:r>
          </w:p>
        </w:tc>
        <w:tc>
          <w:tcPr>
            <w:tcW w:w="603"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840" w:type="dxa"/>
          <w:trHeight w:val="380" w:hRule="atLeast"/>
        </w:trPr>
        <w:tc>
          <w:tcPr>
            <w:tcW w:w="1792" w:type="dxa"/>
            <w:gridSpan w:val="6"/>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6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其中：财政拨款</w:t>
            </w:r>
          </w:p>
        </w:tc>
        <w:tc>
          <w:tcPr>
            <w:tcW w:w="87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69.70</w:t>
            </w:r>
          </w:p>
        </w:tc>
        <w:tc>
          <w:tcPr>
            <w:tcW w:w="1726"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69.70</w:t>
            </w:r>
          </w:p>
        </w:tc>
        <w:tc>
          <w:tcPr>
            <w:tcW w:w="1170"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69.31</w:t>
            </w:r>
          </w:p>
        </w:tc>
        <w:tc>
          <w:tcPr>
            <w:tcW w:w="596"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Arial" w:hAnsi="Arial" w:eastAsia="宋体" w:cs="Arial"/>
                <w:i w:val="0"/>
                <w:iCs w:val="0"/>
                <w:color w:val="222222"/>
                <w:sz w:val="19"/>
                <w:szCs w:val="19"/>
                <w:u w:val="none"/>
              </w:rPr>
            </w:pPr>
            <w:r>
              <w:rPr>
                <w:rFonts w:hint="default" w:ascii="Arial" w:hAnsi="Arial" w:eastAsia="宋体" w:cs="Arial"/>
                <w:i w:val="0"/>
                <w:iCs w:val="0"/>
                <w:color w:val="222222"/>
                <w:kern w:val="0"/>
                <w:sz w:val="19"/>
                <w:szCs w:val="19"/>
                <w:u w:val="none"/>
                <w:bdr w:val="none" w:color="auto" w:sz="0" w:space="0"/>
                <w:lang w:val="en-US" w:eastAsia="zh-CN" w:bidi="ar"/>
              </w:rPr>
              <w:t>——</w:t>
            </w:r>
          </w:p>
        </w:tc>
        <w:tc>
          <w:tcPr>
            <w:tcW w:w="1265"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99.44</w:t>
            </w:r>
          </w:p>
        </w:tc>
        <w:tc>
          <w:tcPr>
            <w:tcW w:w="603"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222222"/>
                <w:sz w:val="19"/>
                <w:szCs w:val="19"/>
                <w:u w:val="none"/>
              </w:rPr>
            </w:pPr>
            <w:r>
              <w:rPr>
                <w:rFonts w:hint="default" w:ascii="Arial" w:hAnsi="Arial" w:eastAsia="宋体" w:cs="Arial"/>
                <w:i w:val="0"/>
                <w:iCs w:val="0"/>
                <w:color w:val="222222"/>
                <w:kern w:val="0"/>
                <w:sz w:val="19"/>
                <w:szCs w:val="19"/>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840" w:type="dxa"/>
          <w:trHeight w:val="380" w:hRule="atLeast"/>
        </w:trPr>
        <w:tc>
          <w:tcPr>
            <w:tcW w:w="1792" w:type="dxa"/>
            <w:gridSpan w:val="6"/>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6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上年结转资金</w:t>
            </w:r>
          </w:p>
        </w:tc>
        <w:tc>
          <w:tcPr>
            <w:tcW w:w="87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1726"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1170"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596"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222222"/>
                <w:sz w:val="19"/>
                <w:szCs w:val="19"/>
                <w:u w:val="none"/>
              </w:rPr>
            </w:pPr>
            <w:r>
              <w:rPr>
                <w:rFonts w:hint="default" w:ascii="Arial" w:hAnsi="Arial" w:eastAsia="宋体" w:cs="Arial"/>
                <w:i w:val="0"/>
                <w:iCs w:val="0"/>
                <w:color w:val="222222"/>
                <w:kern w:val="0"/>
                <w:sz w:val="19"/>
                <w:szCs w:val="19"/>
                <w:u w:val="none"/>
                <w:bdr w:val="none" w:color="auto" w:sz="0" w:space="0"/>
                <w:lang w:val="en-US" w:eastAsia="zh-CN" w:bidi="ar"/>
              </w:rPr>
              <w:t>——</w:t>
            </w:r>
          </w:p>
        </w:tc>
        <w:tc>
          <w:tcPr>
            <w:tcW w:w="1265"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w:t>
            </w:r>
          </w:p>
        </w:tc>
        <w:tc>
          <w:tcPr>
            <w:tcW w:w="603"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222222"/>
                <w:sz w:val="19"/>
                <w:szCs w:val="19"/>
                <w:u w:val="none"/>
              </w:rPr>
            </w:pPr>
            <w:r>
              <w:rPr>
                <w:rFonts w:hint="default" w:ascii="Arial" w:hAnsi="Arial" w:eastAsia="宋体" w:cs="Arial"/>
                <w:i w:val="0"/>
                <w:iCs w:val="0"/>
                <w:color w:val="222222"/>
                <w:kern w:val="0"/>
                <w:sz w:val="19"/>
                <w:szCs w:val="19"/>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840" w:type="dxa"/>
          <w:trHeight w:val="380" w:hRule="atLeast"/>
        </w:trPr>
        <w:tc>
          <w:tcPr>
            <w:tcW w:w="1792" w:type="dxa"/>
            <w:gridSpan w:val="6"/>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6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其他资金</w:t>
            </w:r>
          </w:p>
        </w:tc>
        <w:tc>
          <w:tcPr>
            <w:tcW w:w="87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1726"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1170"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596"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222222"/>
                <w:sz w:val="19"/>
                <w:szCs w:val="19"/>
                <w:u w:val="none"/>
              </w:rPr>
            </w:pPr>
            <w:r>
              <w:rPr>
                <w:rFonts w:hint="default" w:ascii="Arial" w:hAnsi="Arial" w:eastAsia="宋体" w:cs="Arial"/>
                <w:i w:val="0"/>
                <w:iCs w:val="0"/>
                <w:color w:val="222222"/>
                <w:kern w:val="0"/>
                <w:sz w:val="19"/>
                <w:szCs w:val="19"/>
                <w:u w:val="none"/>
                <w:bdr w:val="none" w:color="auto" w:sz="0" w:space="0"/>
                <w:lang w:val="en-US" w:eastAsia="zh-CN" w:bidi="ar"/>
              </w:rPr>
              <w:t>——</w:t>
            </w:r>
          </w:p>
        </w:tc>
        <w:tc>
          <w:tcPr>
            <w:tcW w:w="1265"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w:t>
            </w:r>
          </w:p>
        </w:tc>
        <w:tc>
          <w:tcPr>
            <w:tcW w:w="603"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222222"/>
                <w:sz w:val="19"/>
                <w:szCs w:val="19"/>
                <w:u w:val="none"/>
              </w:rPr>
            </w:pPr>
            <w:r>
              <w:rPr>
                <w:rFonts w:hint="default" w:ascii="Arial" w:hAnsi="Arial" w:eastAsia="宋体" w:cs="Arial"/>
                <w:i w:val="0"/>
                <w:iCs w:val="0"/>
                <w:color w:val="222222"/>
                <w:kern w:val="0"/>
                <w:sz w:val="19"/>
                <w:szCs w:val="19"/>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840" w:type="dxa"/>
          <w:trHeight w:val="380" w:hRule="atLeast"/>
        </w:trPr>
        <w:tc>
          <w:tcPr>
            <w:tcW w:w="1792" w:type="dxa"/>
            <w:gridSpan w:val="6"/>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年度总体目标</w:t>
            </w:r>
          </w:p>
        </w:tc>
        <w:tc>
          <w:tcPr>
            <w:tcW w:w="4054" w:type="dxa"/>
            <w:gridSpan w:val="1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预期目标</w:t>
            </w:r>
          </w:p>
        </w:tc>
        <w:tc>
          <w:tcPr>
            <w:tcW w:w="3049" w:type="dxa"/>
            <w:gridSpan w:val="1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840" w:type="dxa"/>
          <w:trHeight w:val="1120" w:hRule="atLeast"/>
        </w:trPr>
        <w:tc>
          <w:tcPr>
            <w:tcW w:w="1792" w:type="dxa"/>
            <w:gridSpan w:val="6"/>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054" w:type="dxa"/>
            <w:gridSpan w:val="1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加强新政府会计制度实施情况的调研工作。了解新《政府会计制度》在巴彦淖尔地区实施进展情况，根据实施过程中存在的实际困难、问题和建议，有效加强财务管理。 </w:t>
            </w:r>
          </w:p>
        </w:tc>
        <w:tc>
          <w:tcPr>
            <w:tcW w:w="3049" w:type="dxa"/>
            <w:gridSpan w:val="1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加强新政府会计制度实施情况的调研工作。了解新《政府会计制度》在巴彦淖尔地区实施进展情况，根据实施过程中存在的实际困难、问题和建议，有效加强财务管理。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840" w:type="dxa"/>
          <w:trHeight w:val="380" w:hRule="atLeast"/>
        </w:trPr>
        <w:tc>
          <w:tcPr>
            <w:tcW w:w="1017"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绩效指标</w:t>
            </w:r>
          </w:p>
        </w:tc>
        <w:tc>
          <w:tcPr>
            <w:tcW w:w="77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一级指标</w:t>
            </w:r>
          </w:p>
        </w:tc>
        <w:tc>
          <w:tcPr>
            <w:tcW w:w="86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二级指标</w:t>
            </w:r>
          </w:p>
        </w:tc>
        <w:tc>
          <w:tcPr>
            <w:tcW w:w="87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三级指标</w:t>
            </w:r>
          </w:p>
        </w:tc>
        <w:tc>
          <w:tcPr>
            <w:tcW w:w="863"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指标性质</w:t>
            </w:r>
          </w:p>
        </w:tc>
        <w:tc>
          <w:tcPr>
            <w:tcW w:w="863"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指标方向</w:t>
            </w:r>
          </w:p>
        </w:tc>
        <w:tc>
          <w:tcPr>
            <w:tcW w:w="58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年度指标值</w:t>
            </w:r>
          </w:p>
        </w:tc>
        <w:tc>
          <w:tcPr>
            <w:tcW w:w="58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实际完成值</w:t>
            </w:r>
          </w:p>
        </w:tc>
        <w:tc>
          <w:tcPr>
            <w:tcW w:w="59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计量单位</w:t>
            </w:r>
          </w:p>
        </w:tc>
        <w:tc>
          <w:tcPr>
            <w:tcW w:w="58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分值</w:t>
            </w:r>
          </w:p>
        </w:tc>
        <w:tc>
          <w:tcPr>
            <w:tcW w:w="68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得分</w:t>
            </w:r>
          </w:p>
        </w:tc>
        <w:tc>
          <w:tcPr>
            <w:tcW w:w="603"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840" w:type="dxa"/>
          <w:trHeight w:val="680" w:hRule="atLeast"/>
        </w:trPr>
        <w:tc>
          <w:tcPr>
            <w:tcW w:w="1017" w:type="dxa"/>
            <w:gridSpan w:val="3"/>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绩效指标</w:t>
            </w:r>
          </w:p>
        </w:tc>
        <w:tc>
          <w:tcPr>
            <w:tcW w:w="775" w:type="dxa"/>
            <w:gridSpan w:val="3"/>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产出指标</w:t>
            </w:r>
          </w:p>
        </w:tc>
        <w:tc>
          <w:tcPr>
            <w:tcW w:w="869" w:type="dxa"/>
            <w:gridSpan w:val="2"/>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数量指标</w:t>
            </w:r>
          </w:p>
        </w:tc>
        <w:tc>
          <w:tcPr>
            <w:tcW w:w="87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调研次数</w:t>
            </w:r>
          </w:p>
        </w:tc>
        <w:tc>
          <w:tcPr>
            <w:tcW w:w="863"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863"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596"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次</w:t>
            </w:r>
          </w:p>
        </w:tc>
        <w:tc>
          <w:tcPr>
            <w:tcW w:w="58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03"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840" w:type="dxa"/>
          <w:trHeight w:val="680" w:hRule="atLeast"/>
        </w:trPr>
        <w:tc>
          <w:tcPr>
            <w:tcW w:w="1017"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75"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69" w:type="dxa"/>
            <w:gridSpan w:val="2"/>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报名次数</w:t>
            </w:r>
          </w:p>
        </w:tc>
        <w:tc>
          <w:tcPr>
            <w:tcW w:w="863"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863"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596"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次</w:t>
            </w:r>
          </w:p>
        </w:tc>
        <w:tc>
          <w:tcPr>
            <w:tcW w:w="58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03"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840" w:type="dxa"/>
          <w:trHeight w:val="680" w:hRule="atLeast"/>
        </w:trPr>
        <w:tc>
          <w:tcPr>
            <w:tcW w:w="1017"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75"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69" w:type="dxa"/>
            <w:gridSpan w:val="2"/>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考试次数</w:t>
            </w:r>
          </w:p>
        </w:tc>
        <w:tc>
          <w:tcPr>
            <w:tcW w:w="863"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863"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596"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次</w:t>
            </w:r>
          </w:p>
        </w:tc>
        <w:tc>
          <w:tcPr>
            <w:tcW w:w="58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03"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840" w:type="dxa"/>
          <w:trHeight w:val="680" w:hRule="atLeast"/>
        </w:trPr>
        <w:tc>
          <w:tcPr>
            <w:tcW w:w="1017"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75"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69" w:type="dxa"/>
            <w:gridSpan w:val="2"/>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考试报名人数</w:t>
            </w:r>
          </w:p>
        </w:tc>
        <w:tc>
          <w:tcPr>
            <w:tcW w:w="863"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863"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8000</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8000</w:t>
            </w:r>
          </w:p>
        </w:tc>
        <w:tc>
          <w:tcPr>
            <w:tcW w:w="596"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人次</w:t>
            </w:r>
          </w:p>
        </w:tc>
        <w:tc>
          <w:tcPr>
            <w:tcW w:w="58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03"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840" w:type="dxa"/>
          <w:trHeight w:val="680" w:hRule="atLeast"/>
        </w:trPr>
        <w:tc>
          <w:tcPr>
            <w:tcW w:w="1017"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75"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69" w:type="dxa"/>
            <w:gridSpan w:val="2"/>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培训次数</w:t>
            </w:r>
          </w:p>
        </w:tc>
        <w:tc>
          <w:tcPr>
            <w:tcW w:w="863"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863"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596"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次</w:t>
            </w:r>
          </w:p>
        </w:tc>
        <w:tc>
          <w:tcPr>
            <w:tcW w:w="58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03"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840" w:type="dxa"/>
          <w:trHeight w:val="680" w:hRule="atLeast"/>
        </w:trPr>
        <w:tc>
          <w:tcPr>
            <w:tcW w:w="1017"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75"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69" w:type="dxa"/>
            <w:gridSpan w:val="2"/>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内控编报</w:t>
            </w:r>
          </w:p>
        </w:tc>
        <w:tc>
          <w:tcPr>
            <w:tcW w:w="863"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定性</w:t>
            </w:r>
          </w:p>
        </w:tc>
        <w:tc>
          <w:tcPr>
            <w:tcW w:w="863"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1次</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596"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03"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840" w:type="dxa"/>
          <w:trHeight w:val="680" w:hRule="atLeast"/>
        </w:trPr>
        <w:tc>
          <w:tcPr>
            <w:tcW w:w="1017"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75"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69" w:type="dxa"/>
            <w:gridSpan w:val="2"/>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质量指标</w:t>
            </w:r>
          </w:p>
        </w:tc>
        <w:tc>
          <w:tcPr>
            <w:tcW w:w="87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检查问题整改率</w:t>
            </w:r>
          </w:p>
        </w:tc>
        <w:tc>
          <w:tcPr>
            <w:tcW w:w="863"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863"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w:t>
            </w:r>
          </w:p>
        </w:tc>
        <w:tc>
          <w:tcPr>
            <w:tcW w:w="596"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58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03"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840" w:type="dxa"/>
          <w:trHeight w:val="680" w:hRule="atLeast"/>
        </w:trPr>
        <w:tc>
          <w:tcPr>
            <w:tcW w:w="1017"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75"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69" w:type="dxa"/>
            <w:gridSpan w:val="2"/>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报名考试完成率</w:t>
            </w:r>
          </w:p>
        </w:tc>
        <w:tc>
          <w:tcPr>
            <w:tcW w:w="863"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863"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w:t>
            </w:r>
          </w:p>
        </w:tc>
        <w:tc>
          <w:tcPr>
            <w:tcW w:w="596"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58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03"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840" w:type="dxa"/>
          <w:trHeight w:val="680" w:hRule="atLeast"/>
        </w:trPr>
        <w:tc>
          <w:tcPr>
            <w:tcW w:w="1017"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75"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69" w:type="dxa"/>
            <w:gridSpan w:val="2"/>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内控编报完成率</w:t>
            </w:r>
          </w:p>
        </w:tc>
        <w:tc>
          <w:tcPr>
            <w:tcW w:w="863"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863"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等于</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596"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58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03"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840" w:type="dxa"/>
          <w:trHeight w:val="680" w:hRule="atLeast"/>
        </w:trPr>
        <w:tc>
          <w:tcPr>
            <w:tcW w:w="1017"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75"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69" w:type="dxa"/>
            <w:gridSpan w:val="2"/>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培训合格率</w:t>
            </w:r>
          </w:p>
        </w:tc>
        <w:tc>
          <w:tcPr>
            <w:tcW w:w="863"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863"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w:t>
            </w:r>
          </w:p>
        </w:tc>
        <w:tc>
          <w:tcPr>
            <w:tcW w:w="596"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58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03"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840" w:type="dxa"/>
          <w:trHeight w:val="680" w:hRule="atLeast"/>
        </w:trPr>
        <w:tc>
          <w:tcPr>
            <w:tcW w:w="1017"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75"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69" w:type="dxa"/>
            <w:gridSpan w:val="2"/>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上级交办工作完成率</w:t>
            </w:r>
          </w:p>
        </w:tc>
        <w:tc>
          <w:tcPr>
            <w:tcW w:w="863"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863"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w:t>
            </w:r>
          </w:p>
        </w:tc>
        <w:tc>
          <w:tcPr>
            <w:tcW w:w="596"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58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03"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840" w:type="dxa"/>
          <w:trHeight w:val="680" w:hRule="atLeast"/>
        </w:trPr>
        <w:tc>
          <w:tcPr>
            <w:tcW w:w="1017"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75"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69" w:type="dxa"/>
            <w:gridSpan w:val="2"/>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时效指标</w:t>
            </w:r>
          </w:p>
        </w:tc>
        <w:tc>
          <w:tcPr>
            <w:tcW w:w="87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报名时限</w:t>
            </w:r>
          </w:p>
        </w:tc>
        <w:tc>
          <w:tcPr>
            <w:tcW w:w="863"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反向</w:t>
            </w:r>
          </w:p>
        </w:tc>
        <w:tc>
          <w:tcPr>
            <w:tcW w:w="863"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小于等于</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300</w:t>
            </w:r>
          </w:p>
        </w:tc>
        <w:tc>
          <w:tcPr>
            <w:tcW w:w="596"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天</w:t>
            </w:r>
          </w:p>
        </w:tc>
        <w:tc>
          <w:tcPr>
            <w:tcW w:w="58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6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603"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840" w:type="dxa"/>
          <w:trHeight w:val="680" w:hRule="atLeast"/>
        </w:trPr>
        <w:tc>
          <w:tcPr>
            <w:tcW w:w="1017"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75"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69" w:type="dxa"/>
            <w:gridSpan w:val="2"/>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内控编报汇总</w:t>
            </w:r>
          </w:p>
        </w:tc>
        <w:tc>
          <w:tcPr>
            <w:tcW w:w="863"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反向</w:t>
            </w:r>
          </w:p>
        </w:tc>
        <w:tc>
          <w:tcPr>
            <w:tcW w:w="863"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小于等于</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w:t>
            </w:r>
          </w:p>
        </w:tc>
        <w:tc>
          <w:tcPr>
            <w:tcW w:w="596"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天</w:t>
            </w:r>
          </w:p>
        </w:tc>
        <w:tc>
          <w:tcPr>
            <w:tcW w:w="58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03"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840" w:type="dxa"/>
          <w:trHeight w:val="680" w:hRule="atLeast"/>
        </w:trPr>
        <w:tc>
          <w:tcPr>
            <w:tcW w:w="1017"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75"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69" w:type="dxa"/>
            <w:gridSpan w:val="2"/>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考试时限</w:t>
            </w:r>
          </w:p>
        </w:tc>
        <w:tc>
          <w:tcPr>
            <w:tcW w:w="863"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反向</w:t>
            </w:r>
          </w:p>
        </w:tc>
        <w:tc>
          <w:tcPr>
            <w:tcW w:w="863"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小于等于</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w:t>
            </w:r>
          </w:p>
        </w:tc>
        <w:tc>
          <w:tcPr>
            <w:tcW w:w="596"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天</w:t>
            </w:r>
          </w:p>
        </w:tc>
        <w:tc>
          <w:tcPr>
            <w:tcW w:w="58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03"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840" w:type="dxa"/>
          <w:trHeight w:val="680" w:hRule="atLeast"/>
        </w:trPr>
        <w:tc>
          <w:tcPr>
            <w:tcW w:w="1017"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75"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69" w:type="dxa"/>
            <w:gridSpan w:val="2"/>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成本指标</w:t>
            </w:r>
          </w:p>
        </w:tc>
        <w:tc>
          <w:tcPr>
            <w:tcW w:w="87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考试劳务费成本</w:t>
            </w:r>
          </w:p>
        </w:tc>
        <w:tc>
          <w:tcPr>
            <w:tcW w:w="863"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定性</w:t>
            </w:r>
          </w:p>
        </w:tc>
        <w:tc>
          <w:tcPr>
            <w:tcW w:w="863"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40万</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w:t>
            </w:r>
          </w:p>
        </w:tc>
        <w:tc>
          <w:tcPr>
            <w:tcW w:w="596"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03"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840" w:type="dxa"/>
          <w:trHeight w:val="680" w:hRule="atLeast"/>
        </w:trPr>
        <w:tc>
          <w:tcPr>
            <w:tcW w:w="1017"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75"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69" w:type="dxa"/>
            <w:gridSpan w:val="2"/>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设备购置成本</w:t>
            </w:r>
          </w:p>
        </w:tc>
        <w:tc>
          <w:tcPr>
            <w:tcW w:w="863"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定性</w:t>
            </w:r>
          </w:p>
        </w:tc>
        <w:tc>
          <w:tcPr>
            <w:tcW w:w="863"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25万</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w:t>
            </w:r>
          </w:p>
        </w:tc>
        <w:tc>
          <w:tcPr>
            <w:tcW w:w="596"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w:t>
            </w:r>
          </w:p>
        </w:tc>
        <w:tc>
          <w:tcPr>
            <w:tcW w:w="603"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840" w:type="dxa"/>
          <w:trHeight w:val="680" w:hRule="atLeast"/>
        </w:trPr>
        <w:tc>
          <w:tcPr>
            <w:tcW w:w="1017"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75"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69" w:type="dxa"/>
            <w:gridSpan w:val="2"/>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维修维护成本</w:t>
            </w:r>
          </w:p>
        </w:tc>
        <w:tc>
          <w:tcPr>
            <w:tcW w:w="863"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定性</w:t>
            </w:r>
          </w:p>
        </w:tc>
        <w:tc>
          <w:tcPr>
            <w:tcW w:w="863"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5万</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596"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03"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840" w:type="dxa"/>
          <w:trHeight w:val="680" w:hRule="atLeast"/>
        </w:trPr>
        <w:tc>
          <w:tcPr>
            <w:tcW w:w="1017"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75"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69" w:type="dxa"/>
            <w:gridSpan w:val="2"/>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系统运行成本</w:t>
            </w:r>
          </w:p>
        </w:tc>
        <w:tc>
          <w:tcPr>
            <w:tcW w:w="863"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定性</w:t>
            </w:r>
          </w:p>
        </w:tc>
        <w:tc>
          <w:tcPr>
            <w:tcW w:w="863"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5万</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596"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03"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840" w:type="dxa"/>
          <w:trHeight w:val="680" w:hRule="atLeast"/>
        </w:trPr>
        <w:tc>
          <w:tcPr>
            <w:tcW w:w="1017"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75"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69" w:type="dxa"/>
            <w:gridSpan w:val="2"/>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培训成本</w:t>
            </w:r>
          </w:p>
        </w:tc>
        <w:tc>
          <w:tcPr>
            <w:tcW w:w="863"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定性</w:t>
            </w:r>
          </w:p>
        </w:tc>
        <w:tc>
          <w:tcPr>
            <w:tcW w:w="863"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10万</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596"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w:t>
            </w:r>
          </w:p>
        </w:tc>
        <w:tc>
          <w:tcPr>
            <w:tcW w:w="603"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840" w:type="dxa"/>
          <w:trHeight w:val="680" w:hRule="atLeast"/>
        </w:trPr>
        <w:tc>
          <w:tcPr>
            <w:tcW w:w="1017"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75" w:type="dxa"/>
            <w:gridSpan w:val="3"/>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效益指标</w:t>
            </w:r>
          </w:p>
        </w:tc>
        <w:tc>
          <w:tcPr>
            <w:tcW w:w="869"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经济效益</w:t>
            </w:r>
          </w:p>
        </w:tc>
        <w:tc>
          <w:tcPr>
            <w:tcW w:w="87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保障会计资格考试正常运行</w:t>
            </w:r>
          </w:p>
        </w:tc>
        <w:tc>
          <w:tcPr>
            <w:tcW w:w="863"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863"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w:t>
            </w:r>
          </w:p>
        </w:tc>
        <w:tc>
          <w:tcPr>
            <w:tcW w:w="596"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58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03"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840" w:type="dxa"/>
          <w:trHeight w:val="680" w:hRule="atLeast"/>
        </w:trPr>
        <w:tc>
          <w:tcPr>
            <w:tcW w:w="1017"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75"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69" w:type="dxa"/>
            <w:gridSpan w:val="2"/>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社会效益</w:t>
            </w:r>
          </w:p>
        </w:tc>
        <w:tc>
          <w:tcPr>
            <w:tcW w:w="87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服务全市各级部门</w:t>
            </w:r>
          </w:p>
        </w:tc>
        <w:tc>
          <w:tcPr>
            <w:tcW w:w="863"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定性</w:t>
            </w:r>
          </w:p>
        </w:tc>
        <w:tc>
          <w:tcPr>
            <w:tcW w:w="863"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显著提升</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显著提升</w:t>
            </w:r>
          </w:p>
        </w:tc>
        <w:tc>
          <w:tcPr>
            <w:tcW w:w="596"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6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603"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840" w:type="dxa"/>
          <w:trHeight w:val="680" w:hRule="atLeast"/>
        </w:trPr>
        <w:tc>
          <w:tcPr>
            <w:tcW w:w="1017"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75"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69" w:type="dxa"/>
            <w:gridSpan w:val="2"/>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提高工作效率服务效能</w:t>
            </w:r>
          </w:p>
        </w:tc>
        <w:tc>
          <w:tcPr>
            <w:tcW w:w="863"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定性</w:t>
            </w:r>
          </w:p>
        </w:tc>
        <w:tc>
          <w:tcPr>
            <w:tcW w:w="863"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显著提升</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显著提升</w:t>
            </w:r>
          </w:p>
        </w:tc>
        <w:tc>
          <w:tcPr>
            <w:tcW w:w="596"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6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603"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840" w:type="dxa"/>
          <w:trHeight w:val="680" w:hRule="atLeast"/>
        </w:trPr>
        <w:tc>
          <w:tcPr>
            <w:tcW w:w="1017"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75"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69"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可持续影响</w:t>
            </w:r>
          </w:p>
        </w:tc>
        <w:tc>
          <w:tcPr>
            <w:tcW w:w="87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服务全市各级部门</w:t>
            </w:r>
          </w:p>
        </w:tc>
        <w:tc>
          <w:tcPr>
            <w:tcW w:w="863"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定性</w:t>
            </w:r>
          </w:p>
        </w:tc>
        <w:tc>
          <w:tcPr>
            <w:tcW w:w="863"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长期</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长期</w:t>
            </w:r>
          </w:p>
        </w:tc>
        <w:tc>
          <w:tcPr>
            <w:tcW w:w="596"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03"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840" w:type="dxa"/>
          <w:trHeight w:val="680" w:hRule="atLeast"/>
        </w:trPr>
        <w:tc>
          <w:tcPr>
            <w:tcW w:w="1017"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75" w:type="dxa"/>
            <w:gridSpan w:val="3"/>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满意度指标</w:t>
            </w:r>
          </w:p>
        </w:tc>
        <w:tc>
          <w:tcPr>
            <w:tcW w:w="869" w:type="dxa"/>
            <w:gridSpan w:val="2"/>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服务对象满意度</w:t>
            </w:r>
          </w:p>
        </w:tc>
        <w:tc>
          <w:tcPr>
            <w:tcW w:w="87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受训对象满意度</w:t>
            </w:r>
          </w:p>
        </w:tc>
        <w:tc>
          <w:tcPr>
            <w:tcW w:w="863"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863"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90</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90</w:t>
            </w:r>
          </w:p>
        </w:tc>
        <w:tc>
          <w:tcPr>
            <w:tcW w:w="596"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58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6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603"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840" w:type="dxa"/>
          <w:trHeight w:val="680" w:hRule="atLeast"/>
        </w:trPr>
        <w:tc>
          <w:tcPr>
            <w:tcW w:w="1017"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75"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69" w:type="dxa"/>
            <w:gridSpan w:val="2"/>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考生满意度</w:t>
            </w:r>
          </w:p>
        </w:tc>
        <w:tc>
          <w:tcPr>
            <w:tcW w:w="863"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863"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90</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90</w:t>
            </w:r>
          </w:p>
        </w:tc>
        <w:tc>
          <w:tcPr>
            <w:tcW w:w="596"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58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03"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840" w:type="dxa"/>
          <w:trHeight w:val="680" w:hRule="atLeast"/>
        </w:trPr>
        <w:tc>
          <w:tcPr>
            <w:tcW w:w="1017"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75"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69" w:type="dxa"/>
            <w:gridSpan w:val="2"/>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上级主管部门满意度</w:t>
            </w:r>
          </w:p>
        </w:tc>
        <w:tc>
          <w:tcPr>
            <w:tcW w:w="863"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863"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90</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90</w:t>
            </w:r>
          </w:p>
        </w:tc>
        <w:tc>
          <w:tcPr>
            <w:tcW w:w="596"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58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03"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840" w:type="dxa"/>
          <w:trHeight w:val="680" w:hRule="atLeast"/>
        </w:trPr>
        <w:tc>
          <w:tcPr>
            <w:tcW w:w="7027" w:type="dxa"/>
            <w:gridSpan w:val="2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总分</w:t>
            </w:r>
          </w:p>
        </w:tc>
        <w:tc>
          <w:tcPr>
            <w:tcW w:w="58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68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95.94</w:t>
            </w:r>
          </w:p>
        </w:tc>
        <w:tc>
          <w:tcPr>
            <w:tcW w:w="603"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1275" w:type="dxa"/>
          <w:trHeight w:val="960" w:hRule="atLeast"/>
        </w:trPr>
        <w:tc>
          <w:tcPr>
            <w:tcW w:w="8460" w:type="dxa"/>
            <w:gridSpan w:val="3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政府采购电子化服务平台“全区一张网”项目支出绩效自评表</w:t>
            </w:r>
            <w:r>
              <w:rPr>
                <w:rFonts w:hint="eastAsia" w:ascii="宋体" w:hAnsi="宋体" w:eastAsia="宋体" w:cs="宋体"/>
                <w:b/>
                <w:bCs/>
                <w:i w:val="0"/>
                <w:iCs w:val="0"/>
                <w:color w:val="000000"/>
                <w:kern w:val="0"/>
                <w:sz w:val="40"/>
                <w:szCs w:val="40"/>
                <w:u w:val="none"/>
                <w:bdr w:val="none" w:color="auto" w:sz="0" w:space="0"/>
                <w:lang w:val="en-US" w:eastAsia="zh-CN" w:bidi="ar"/>
              </w:rPr>
              <w:br w:type="textWrapping"/>
            </w:r>
            <w:r>
              <w:rPr>
                <w:rFonts w:hint="eastAsia" w:ascii="宋体" w:hAnsi="宋体" w:eastAsia="宋体" w:cs="宋体"/>
                <w:b/>
                <w:bCs/>
                <w:i w:val="0"/>
                <w:iCs w:val="0"/>
                <w:color w:val="000000"/>
                <w:kern w:val="0"/>
                <w:sz w:val="40"/>
                <w:szCs w:val="40"/>
                <w:u w:val="none"/>
                <w:bdr w:val="none" w:color="auto" w:sz="0" w:space="0"/>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1275" w:type="dxa"/>
          <w:trHeight w:val="380" w:hRule="atLeast"/>
        </w:trPr>
        <w:tc>
          <w:tcPr>
            <w:tcW w:w="1684"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项目名称</w:t>
            </w:r>
          </w:p>
        </w:tc>
        <w:tc>
          <w:tcPr>
            <w:tcW w:w="6776" w:type="dxa"/>
            <w:gridSpan w:val="2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政府采购电子化服务平台“全区一张网”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1275" w:type="dxa"/>
          <w:trHeight w:val="380" w:hRule="atLeast"/>
        </w:trPr>
        <w:tc>
          <w:tcPr>
            <w:tcW w:w="1684"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108" w:type="dxa"/>
            <w:gridSpan w:val="1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巴彦淖尔市财政局（部门）</w:t>
            </w:r>
          </w:p>
        </w:tc>
        <w:tc>
          <w:tcPr>
            <w:tcW w:w="1228"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实施单位</w:t>
            </w:r>
          </w:p>
        </w:tc>
        <w:tc>
          <w:tcPr>
            <w:tcW w:w="2440" w:type="dxa"/>
            <w:gridSpan w:val="1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巴彦淖尔市财政局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1275" w:type="dxa"/>
          <w:trHeight w:val="380" w:hRule="atLeast"/>
        </w:trPr>
        <w:tc>
          <w:tcPr>
            <w:tcW w:w="1684" w:type="dxa"/>
            <w:gridSpan w:val="4"/>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项目资金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（万元）</w:t>
            </w:r>
          </w:p>
        </w:tc>
        <w:tc>
          <w:tcPr>
            <w:tcW w:w="940" w:type="dxa"/>
            <w:gridSpan w:val="3"/>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942"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年初预算数</w:t>
            </w:r>
          </w:p>
        </w:tc>
        <w:tc>
          <w:tcPr>
            <w:tcW w:w="1226"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全年预算数</w:t>
            </w:r>
          </w:p>
        </w:tc>
        <w:tc>
          <w:tcPr>
            <w:tcW w:w="1228"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全年执行数</w:t>
            </w:r>
          </w:p>
        </w:tc>
        <w:tc>
          <w:tcPr>
            <w:tcW w:w="61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分值</w:t>
            </w:r>
          </w:p>
        </w:tc>
        <w:tc>
          <w:tcPr>
            <w:tcW w:w="1229"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执行率（%）</w:t>
            </w:r>
          </w:p>
        </w:tc>
        <w:tc>
          <w:tcPr>
            <w:tcW w:w="59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1275" w:type="dxa"/>
          <w:trHeight w:val="380" w:hRule="atLeast"/>
        </w:trPr>
        <w:tc>
          <w:tcPr>
            <w:tcW w:w="1684" w:type="dxa"/>
            <w:gridSpan w:val="4"/>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4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年度资金总额</w:t>
            </w:r>
          </w:p>
        </w:tc>
        <w:tc>
          <w:tcPr>
            <w:tcW w:w="942"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55.00</w:t>
            </w:r>
          </w:p>
        </w:tc>
        <w:tc>
          <w:tcPr>
            <w:tcW w:w="1226"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55.00</w:t>
            </w:r>
          </w:p>
        </w:tc>
        <w:tc>
          <w:tcPr>
            <w:tcW w:w="1228"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54.99</w:t>
            </w:r>
          </w:p>
        </w:tc>
        <w:tc>
          <w:tcPr>
            <w:tcW w:w="61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1229"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99.98</w:t>
            </w:r>
          </w:p>
        </w:tc>
        <w:tc>
          <w:tcPr>
            <w:tcW w:w="59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1275" w:type="dxa"/>
          <w:trHeight w:val="380" w:hRule="atLeast"/>
        </w:trPr>
        <w:tc>
          <w:tcPr>
            <w:tcW w:w="1684" w:type="dxa"/>
            <w:gridSpan w:val="4"/>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4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其中：财政拨款</w:t>
            </w:r>
          </w:p>
        </w:tc>
        <w:tc>
          <w:tcPr>
            <w:tcW w:w="942"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55.00</w:t>
            </w:r>
          </w:p>
        </w:tc>
        <w:tc>
          <w:tcPr>
            <w:tcW w:w="1226"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55.00</w:t>
            </w:r>
          </w:p>
        </w:tc>
        <w:tc>
          <w:tcPr>
            <w:tcW w:w="1228"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54.99</w:t>
            </w:r>
          </w:p>
        </w:tc>
        <w:tc>
          <w:tcPr>
            <w:tcW w:w="61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Arial" w:hAnsi="Arial" w:eastAsia="宋体" w:cs="Arial"/>
                <w:i w:val="0"/>
                <w:iCs w:val="0"/>
                <w:color w:val="222222"/>
                <w:sz w:val="19"/>
                <w:szCs w:val="19"/>
                <w:u w:val="none"/>
              </w:rPr>
            </w:pPr>
            <w:r>
              <w:rPr>
                <w:rFonts w:hint="default" w:ascii="Arial" w:hAnsi="Arial" w:eastAsia="宋体" w:cs="Arial"/>
                <w:i w:val="0"/>
                <w:iCs w:val="0"/>
                <w:color w:val="222222"/>
                <w:kern w:val="0"/>
                <w:sz w:val="19"/>
                <w:szCs w:val="19"/>
                <w:u w:val="none"/>
                <w:bdr w:val="none" w:color="auto" w:sz="0" w:space="0"/>
                <w:lang w:val="en-US" w:eastAsia="zh-CN" w:bidi="ar"/>
              </w:rPr>
              <w:t>——</w:t>
            </w:r>
          </w:p>
        </w:tc>
        <w:tc>
          <w:tcPr>
            <w:tcW w:w="1229"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99.98</w:t>
            </w:r>
          </w:p>
        </w:tc>
        <w:tc>
          <w:tcPr>
            <w:tcW w:w="596"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222222"/>
                <w:sz w:val="19"/>
                <w:szCs w:val="19"/>
                <w:u w:val="none"/>
              </w:rPr>
            </w:pPr>
            <w:r>
              <w:rPr>
                <w:rFonts w:hint="default" w:ascii="Arial" w:hAnsi="Arial" w:eastAsia="宋体" w:cs="Arial"/>
                <w:i w:val="0"/>
                <w:iCs w:val="0"/>
                <w:color w:val="222222"/>
                <w:kern w:val="0"/>
                <w:sz w:val="19"/>
                <w:szCs w:val="19"/>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1275" w:type="dxa"/>
          <w:trHeight w:val="380" w:hRule="atLeast"/>
        </w:trPr>
        <w:tc>
          <w:tcPr>
            <w:tcW w:w="1684" w:type="dxa"/>
            <w:gridSpan w:val="4"/>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4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上年结转资金</w:t>
            </w:r>
          </w:p>
        </w:tc>
        <w:tc>
          <w:tcPr>
            <w:tcW w:w="942"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1226"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1228"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61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222222"/>
                <w:sz w:val="19"/>
                <w:szCs w:val="19"/>
                <w:u w:val="none"/>
              </w:rPr>
            </w:pPr>
            <w:r>
              <w:rPr>
                <w:rFonts w:hint="default" w:ascii="Arial" w:hAnsi="Arial" w:eastAsia="宋体" w:cs="Arial"/>
                <w:i w:val="0"/>
                <w:iCs w:val="0"/>
                <w:color w:val="222222"/>
                <w:kern w:val="0"/>
                <w:sz w:val="19"/>
                <w:szCs w:val="19"/>
                <w:u w:val="none"/>
                <w:bdr w:val="none" w:color="auto" w:sz="0" w:space="0"/>
                <w:lang w:val="en-US" w:eastAsia="zh-CN" w:bidi="ar"/>
              </w:rPr>
              <w:t>——</w:t>
            </w:r>
          </w:p>
        </w:tc>
        <w:tc>
          <w:tcPr>
            <w:tcW w:w="1229"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w:t>
            </w:r>
          </w:p>
        </w:tc>
        <w:tc>
          <w:tcPr>
            <w:tcW w:w="596"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222222"/>
                <w:sz w:val="19"/>
                <w:szCs w:val="19"/>
                <w:u w:val="none"/>
              </w:rPr>
            </w:pPr>
            <w:r>
              <w:rPr>
                <w:rFonts w:hint="default" w:ascii="Arial" w:hAnsi="Arial" w:eastAsia="宋体" w:cs="Arial"/>
                <w:i w:val="0"/>
                <w:iCs w:val="0"/>
                <w:color w:val="222222"/>
                <w:kern w:val="0"/>
                <w:sz w:val="19"/>
                <w:szCs w:val="19"/>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1275" w:type="dxa"/>
          <w:trHeight w:val="380" w:hRule="atLeast"/>
        </w:trPr>
        <w:tc>
          <w:tcPr>
            <w:tcW w:w="1684" w:type="dxa"/>
            <w:gridSpan w:val="4"/>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4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其他资金</w:t>
            </w:r>
          </w:p>
        </w:tc>
        <w:tc>
          <w:tcPr>
            <w:tcW w:w="942"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1226"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1228"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61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222222"/>
                <w:sz w:val="19"/>
                <w:szCs w:val="19"/>
                <w:u w:val="none"/>
              </w:rPr>
            </w:pPr>
            <w:r>
              <w:rPr>
                <w:rFonts w:hint="default" w:ascii="Arial" w:hAnsi="Arial" w:eastAsia="宋体" w:cs="Arial"/>
                <w:i w:val="0"/>
                <w:iCs w:val="0"/>
                <w:color w:val="222222"/>
                <w:kern w:val="0"/>
                <w:sz w:val="19"/>
                <w:szCs w:val="19"/>
                <w:u w:val="none"/>
                <w:bdr w:val="none" w:color="auto" w:sz="0" w:space="0"/>
                <w:lang w:val="en-US" w:eastAsia="zh-CN" w:bidi="ar"/>
              </w:rPr>
              <w:t>——</w:t>
            </w:r>
          </w:p>
        </w:tc>
        <w:tc>
          <w:tcPr>
            <w:tcW w:w="1229"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w:t>
            </w:r>
          </w:p>
        </w:tc>
        <w:tc>
          <w:tcPr>
            <w:tcW w:w="596"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222222"/>
                <w:sz w:val="19"/>
                <w:szCs w:val="19"/>
                <w:u w:val="none"/>
              </w:rPr>
            </w:pPr>
            <w:r>
              <w:rPr>
                <w:rFonts w:hint="default" w:ascii="Arial" w:hAnsi="Arial" w:eastAsia="宋体" w:cs="Arial"/>
                <w:i w:val="0"/>
                <w:iCs w:val="0"/>
                <w:color w:val="222222"/>
                <w:kern w:val="0"/>
                <w:sz w:val="19"/>
                <w:szCs w:val="19"/>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1275" w:type="dxa"/>
          <w:trHeight w:val="380" w:hRule="atLeast"/>
        </w:trPr>
        <w:tc>
          <w:tcPr>
            <w:tcW w:w="1684" w:type="dxa"/>
            <w:gridSpan w:val="4"/>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年度总体目标</w:t>
            </w:r>
          </w:p>
        </w:tc>
        <w:tc>
          <w:tcPr>
            <w:tcW w:w="3721" w:type="dxa"/>
            <w:gridSpan w:val="1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预期目标</w:t>
            </w:r>
          </w:p>
        </w:tc>
        <w:tc>
          <w:tcPr>
            <w:tcW w:w="3055" w:type="dxa"/>
            <w:gridSpan w:val="1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1275" w:type="dxa"/>
          <w:trHeight w:val="1640" w:hRule="atLeast"/>
        </w:trPr>
        <w:tc>
          <w:tcPr>
            <w:tcW w:w="1684" w:type="dxa"/>
            <w:gridSpan w:val="4"/>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721" w:type="dxa"/>
            <w:gridSpan w:val="1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目标1：按照“统一规划，高标准建设，软硬件设备系统要和财政一体化系统共建共享，互相兼容，高效运行”要求打造政府采购“全区一张网”，在全区范围内实施审批、核准事项“网上办、一次办”，备案事项“不见面、网上办”，实现政府采购业务“一网通办”。</w:t>
            </w:r>
          </w:p>
        </w:tc>
        <w:tc>
          <w:tcPr>
            <w:tcW w:w="3055" w:type="dxa"/>
            <w:gridSpan w:val="1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目标1：按照“统一规划，高标准建设，软硬件设备系统要和财政一体化系统共建共享，互相兼容，高效运行”要求打造政府采购“全区一张网”，在全区范围内实施审批、核准事项“网上办、一次办”，备案事项“不见面、网上办”，实现政府采购业务“一网通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1275" w:type="dxa"/>
          <w:trHeight w:val="380" w:hRule="atLeast"/>
        </w:trPr>
        <w:tc>
          <w:tcPr>
            <w:tcW w:w="8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绩效指标</w:t>
            </w:r>
          </w:p>
        </w:tc>
        <w:tc>
          <w:tcPr>
            <w:tcW w:w="834"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一级指标</w:t>
            </w:r>
          </w:p>
        </w:tc>
        <w:tc>
          <w:tcPr>
            <w:tcW w:w="94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二级指标</w:t>
            </w:r>
          </w:p>
        </w:tc>
        <w:tc>
          <w:tcPr>
            <w:tcW w:w="942"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三级指标</w:t>
            </w:r>
          </w:p>
        </w:tc>
        <w:tc>
          <w:tcPr>
            <w:tcW w:w="61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指标性质</w:t>
            </w:r>
          </w:p>
        </w:tc>
        <w:tc>
          <w:tcPr>
            <w:tcW w:w="612"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指标方向</w:t>
            </w:r>
          </w:p>
        </w:tc>
        <w:tc>
          <w:tcPr>
            <w:tcW w:w="613"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年度指标值</w:t>
            </w:r>
          </w:p>
        </w:tc>
        <w:tc>
          <w:tcPr>
            <w:tcW w:w="61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实际完成值</w:t>
            </w:r>
          </w:p>
        </w:tc>
        <w:tc>
          <w:tcPr>
            <w:tcW w:w="61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计量单位</w:t>
            </w:r>
          </w:p>
        </w:tc>
        <w:tc>
          <w:tcPr>
            <w:tcW w:w="61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分值</w:t>
            </w:r>
          </w:p>
        </w:tc>
        <w:tc>
          <w:tcPr>
            <w:tcW w:w="614"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得分</w:t>
            </w:r>
          </w:p>
        </w:tc>
        <w:tc>
          <w:tcPr>
            <w:tcW w:w="59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1275" w:type="dxa"/>
          <w:trHeight w:val="480" w:hRule="atLeast"/>
        </w:trPr>
        <w:tc>
          <w:tcPr>
            <w:tcW w:w="850"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绩效指标</w:t>
            </w:r>
          </w:p>
        </w:tc>
        <w:tc>
          <w:tcPr>
            <w:tcW w:w="834" w:type="dxa"/>
            <w:gridSpan w:val="3"/>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产出指标</w:t>
            </w:r>
          </w:p>
        </w:tc>
        <w:tc>
          <w:tcPr>
            <w:tcW w:w="940" w:type="dxa"/>
            <w:gridSpan w:val="3"/>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数量指标</w:t>
            </w:r>
          </w:p>
        </w:tc>
        <w:tc>
          <w:tcPr>
            <w:tcW w:w="942"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系统运行维护</w:t>
            </w:r>
          </w:p>
        </w:tc>
        <w:tc>
          <w:tcPr>
            <w:tcW w:w="61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612"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613"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w:t>
            </w:r>
          </w:p>
        </w:tc>
        <w:tc>
          <w:tcPr>
            <w:tcW w:w="615"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w:t>
            </w:r>
          </w:p>
        </w:tc>
        <w:tc>
          <w:tcPr>
            <w:tcW w:w="61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次</w:t>
            </w:r>
          </w:p>
        </w:tc>
        <w:tc>
          <w:tcPr>
            <w:tcW w:w="61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14"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596"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1275" w:type="dxa"/>
          <w:trHeight w:val="480" w:hRule="atLeast"/>
        </w:trPr>
        <w:tc>
          <w:tcPr>
            <w:tcW w:w="85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34"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40"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42"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业务培训</w:t>
            </w:r>
          </w:p>
        </w:tc>
        <w:tc>
          <w:tcPr>
            <w:tcW w:w="61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612"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613"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15"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1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次</w:t>
            </w:r>
          </w:p>
        </w:tc>
        <w:tc>
          <w:tcPr>
            <w:tcW w:w="61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14"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596"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1275" w:type="dxa"/>
          <w:trHeight w:val="480" w:hRule="atLeast"/>
        </w:trPr>
        <w:tc>
          <w:tcPr>
            <w:tcW w:w="85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34"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40"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42"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委托服务项目</w:t>
            </w:r>
          </w:p>
        </w:tc>
        <w:tc>
          <w:tcPr>
            <w:tcW w:w="61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612"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613"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615"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61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w:t>
            </w:r>
          </w:p>
        </w:tc>
        <w:tc>
          <w:tcPr>
            <w:tcW w:w="61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14"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596"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1275" w:type="dxa"/>
          <w:trHeight w:val="480" w:hRule="atLeast"/>
        </w:trPr>
        <w:tc>
          <w:tcPr>
            <w:tcW w:w="85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34"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40" w:type="dxa"/>
            <w:gridSpan w:val="3"/>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质量指标</w:t>
            </w:r>
          </w:p>
        </w:tc>
        <w:tc>
          <w:tcPr>
            <w:tcW w:w="942"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系统运行达标率</w:t>
            </w:r>
          </w:p>
        </w:tc>
        <w:tc>
          <w:tcPr>
            <w:tcW w:w="61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612"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613"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95</w:t>
            </w:r>
          </w:p>
        </w:tc>
        <w:tc>
          <w:tcPr>
            <w:tcW w:w="615"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95</w:t>
            </w:r>
          </w:p>
        </w:tc>
        <w:tc>
          <w:tcPr>
            <w:tcW w:w="61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百分比</w:t>
            </w:r>
          </w:p>
        </w:tc>
        <w:tc>
          <w:tcPr>
            <w:tcW w:w="61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14"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596"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1275" w:type="dxa"/>
          <w:trHeight w:val="480" w:hRule="atLeast"/>
        </w:trPr>
        <w:tc>
          <w:tcPr>
            <w:tcW w:w="85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34"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40"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42"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业务培训合格率</w:t>
            </w:r>
          </w:p>
        </w:tc>
        <w:tc>
          <w:tcPr>
            <w:tcW w:w="61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612"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613"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w:t>
            </w:r>
          </w:p>
        </w:tc>
        <w:tc>
          <w:tcPr>
            <w:tcW w:w="615"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w:t>
            </w:r>
          </w:p>
        </w:tc>
        <w:tc>
          <w:tcPr>
            <w:tcW w:w="61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百分比</w:t>
            </w:r>
          </w:p>
        </w:tc>
        <w:tc>
          <w:tcPr>
            <w:tcW w:w="61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14"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596"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1275" w:type="dxa"/>
          <w:trHeight w:val="480" w:hRule="atLeast"/>
        </w:trPr>
        <w:tc>
          <w:tcPr>
            <w:tcW w:w="85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34"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40"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42"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委托服务项目完成率</w:t>
            </w:r>
          </w:p>
        </w:tc>
        <w:tc>
          <w:tcPr>
            <w:tcW w:w="61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612"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613"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w:t>
            </w:r>
          </w:p>
        </w:tc>
        <w:tc>
          <w:tcPr>
            <w:tcW w:w="615"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w:t>
            </w:r>
          </w:p>
        </w:tc>
        <w:tc>
          <w:tcPr>
            <w:tcW w:w="61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百分比</w:t>
            </w:r>
          </w:p>
        </w:tc>
        <w:tc>
          <w:tcPr>
            <w:tcW w:w="61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14"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596"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1275" w:type="dxa"/>
          <w:trHeight w:val="480" w:hRule="atLeast"/>
        </w:trPr>
        <w:tc>
          <w:tcPr>
            <w:tcW w:w="85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34"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40" w:type="dxa"/>
            <w:gridSpan w:val="3"/>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时效指标</w:t>
            </w:r>
          </w:p>
        </w:tc>
        <w:tc>
          <w:tcPr>
            <w:tcW w:w="942"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系统响应及时性</w:t>
            </w:r>
          </w:p>
        </w:tc>
        <w:tc>
          <w:tcPr>
            <w:tcW w:w="61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定性</w:t>
            </w:r>
          </w:p>
        </w:tc>
        <w:tc>
          <w:tcPr>
            <w:tcW w:w="612"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13"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及时</w:t>
            </w:r>
          </w:p>
        </w:tc>
        <w:tc>
          <w:tcPr>
            <w:tcW w:w="615"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及时</w:t>
            </w:r>
          </w:p>
        </w:tc>
        <w:tc>
          <w:tcPr>
            <w:tcW w:w="615"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1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14"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596"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1275" w:type="dxa"/>
          <w:trHeight w:val="480" w:hRule="atLeast"/>
        </w:trPr>
        <w:tc>
          <w:tcPr>
            <w:tcW w:w="85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34"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40"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42"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培训完成及时性</w:t>
            </w:r>
          </w:p>
        </w:tc>
        <w:tc>
          <w:tcPr>
            <w:tcW w:w="61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定性</w:t>
            </w:r>
          </w:p>
        </w:tc>
        <w:tc>
          <w:tcPr>
            <w:tcW w:w="612"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13"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及时</w:t>
            </w:r>
          </w:p>
        </w:tc>
        <w:tc>
          <w:tcPr>
            <w:tcW w:w="615"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及时</w:t>
            </w:r>
          </w:p>
        </w:tc>
        <w:tc>
          <w:tcPr>
            <w:tcW w:w="615"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1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w:t>
            </w:r>
          </w:p>
        </w:tc>
        <w:tc>
          <w:tcPr>
            <w:tcW w:w="614"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w:t>
            </w:r>
          </w:p>
        </w:tc>
        <w:tc>
          <w:tcPr>
            <w:tcW w:w="596"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1275" w:type="dxa"/>
          <w:trHeight w:val="480" w:hRule="atLeast"/>
        </w:trPr>
        <w:tc>
          <w:tcPr>
            <w:tcW w:w="85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34"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40"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42"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委托服务项目完成及时性</w:t>
            </w:r>
          </w:p>
        </w:tc>
        <w:tc>
          <w:tcPr>
            <w:tcW w:w="61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定性</w:t>
            </w:r>
          </w:p>
        </w:tc>
        <w:tc>
          <w:tcPr>
            <w:tcW w:w="612"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13"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及时</w:t>
            </w:r>
          </w:p>
        </w:tc>
        <w:tc>
          <w:tcPr>
            <w:tcW w:w="615"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及时</w:t>
            </w:r>
          </w:p>
        </w:tc>
        <w:tc>
          <w:tcPr>
            <w:tcW w:w="615"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1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w:t>
            </w:r>
          </w:p>
        </w:tc>
        <w:tc>
          <w:tcPr>
            <w:tcW w:w="614"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w:t>
            </w:r>
          </w:p>
        </w:tc>
        <w:tc>
          <w:tcPr>
            <w:tcW w:w="596"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1275" w:type="dxa"/>
          <w:trHeight w:val="480" w:hRule="atLeast"/>
        </w:trPr>
        <w:tc>
          <w:tcPr>
            <w:tcW w:w="85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34"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40" w:type="dxa"/>
            <w:gridSpan w:val="3"/>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成本指标</w:t>
            </w:r>
          </w:p>
        </w:tc>
        <w:tc>
          <w:tcPr>
            <w:tcW w:w="942"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系统运行维护费</w:t>
            </w:r>
          </w:p>
        </w:tc>
        <w:tc>
          <w:tcPr>
            <w:tcW w:w="61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反向</w:t>
            </w:r>
          </w:p>
        </w:tc>
        <w:tc>
          <w:tcPr>
            <w:tcW w:w="612"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小于等于</w:t>
            </w:r>
          </w:p>
        </w:tc>
        <w:tc>
          <w:tcPr>
            <w:tcW w:w="613"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w:t>
            </w:r>
          </w:p>
        </w:tc>
        <w:tc>
          <w:tcPr>
            <w:tcW w:w="615"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w:t>
            </w:r>
          </w:p>
        </w:tc>
        <w:tc>
          <w:tcPr>
            <w:tcW w:w="61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万元</w:t>
            </w:r>
          </w:p>
        </w:tc>
        <w:tc>
          <w:tcPr>
            <w:tcW w:w="61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14"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596"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1275" w:type="dxa"/>
          <w:trHeight w:val="480" w:hRule="atLeast"/>
        </w:trPr>
        <w:tc>
          <w:tcPr>
            <w:tcW w:w="85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34"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40"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42"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业务培训费</w:t>
            </w:r>
          </w:p>
        </w:tc>
        <w:tc>
          <w:tcPr>
            <w:tcW w:w="61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反向</w:t>
            </w:r>
          </w:p>
        </w:tc>
        <w:tc>
          <w:tcPr>
            <w:tcW w:w="612"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小于等于</w:t>
            </w:r>
          </w:p>
        </w:tc>
        <w:tc>
          <w:tcPr>
            <w:tcW w:w="613"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w:t>
            </w:r>
          </w:p>
        </w:tc>
        <w:tc>
          <w:tcPr>
            <w:tcW w:w="615"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w:t>
            </w:r>
          </w:p>
        </w:tc>
        <w:tc>
          <w:tcPr>
            <w:tcW w:w="61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万元</w:t>
            </w:r>
          </w:p>
        </w:tc>
        <w:tc>
          <w:tcPr>
            <w:tcW w:w="61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14"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w:t>
            </w:r>
          </w:p>
        </w:tc>
        <w:tc>
          <w:tcPr>
            <w:tcW w:w="596"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1275" w:type="dxa"/>
          <w:trHeight w:val="480" w:hRule="atLeast"/>
        </w:trPr>
        <w:tc>
          <w:tcPr>
            <w:tcW w:w="85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34" w:type="dxa"/>
            <w:gridSpan w:val="3"/>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效益指标</w:t>
            </w:r>
          </w:p>
        </w:tc>
        <w:tc>
          <w:tcPr>
            <w:tcW w:w="94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经济效益</w:t>
            </w:r>
          </w:p>
        </w:tc>
        <w:tc>
          <w:tcPr>
            <w:tcW w:w="942"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预算单位运行情况</w:t>
            </w:r>
          </w:p>
        </w:tc>
        <w:tc>
          <w:tcPr>
            <w:tcW w:w="61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定性</w:t>
            </w:r>
          </w:p>
        </w:tc>
        <w:tc>
          <w:tcPr>
            <w:tcW w:w="612"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13"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满意</w:t>
            </w:r>
          </w:p>
        </w:tc>
        <w:tc>
          <w:tcPr>
            <w:tcW w:w="615"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满意</w:t>
            </w:r>
          </w:p>
        </w:tc>
        <w:tc>
          <w:tcPr>
            <w:tcW w:w="615"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1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14"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596"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1275" w:type="dxa"/>
          <w:trHeight w:val="480" w:hRule="atLeast"/>
        </w:trPr>
        <w:tc>
          <w:tcPr>
            <w:tcW w:w="85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34"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4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社会效益</w:t>
            </w:r>
          </w:p>
        </w:tc>
        <w:tc>
          <w:tcPr>
            <w:tcW w:w="942"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实现政府采购业务一网通办</w:t>
            </w:r>
          </w:p>
        </w:tc>
        <w:tc>
          <w:tcPr>
            <w:tcW w:w="61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定性</w:t>
            </w:r>
          </w:p>
        </w:tc>
        <w:tc>
          <w:tcPr>
            <w:tcW w:w="612"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13"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完成</w:t>
            </w:r>
          </w:p>
        </w:tc>
        <w:tc>
          <w:tcPr>
            <w:tcW w:w="615"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完成</w:t>
            </w:r>
          </w:p>
        </w:tc>
        <w:tc>
          <w:tcPr>
            <w:tcW w:w="615"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1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614"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596"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1275" w:type="dxa"/>
          <w:trHeight w:val="480" w:hRule="atLeast"/>
        </w:trPr>
        <w:tc>
          <w:tcPr>
            <w:tcW w:w="85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34"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40" w:type="dxa"/>
            <w:gridSpan w:val="3"/>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可持续影响</w:t>
            </w:r>
          </w:p>
        </w:tc>
        <w:tc>
          <w:tcPr>
            <w:tcW w:w="942"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政府采购全程无纸化办理</w:t>
            </w:r>
          </w:p>
        </w:tc>
        <w:tc>
          <w:tcPr>
            <w:tcW w:w="61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定性</w:t>
            </w:r>
          </w:p>
        </w:tc>
        <w:tc>
          <w:tcPr>
            <w:tcW w:w="612"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13"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持续发展</w:t>
            </w:r>
          </w:p>
        </w:tc>
        <w:tc>
          <w:tcPr>
            <w:tcW w:w="615"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持续发展</w:t>
            </w:r>
          </w:p>
        </w:tc>
        <w:tc>
          <w:tcPr>
            <w:tcW w:w="615"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1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14"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596"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1275" w:type="dxa"/>
          <w:trHeight w:val="480" w:hRule="atLeast"/>
        </w:trPr>
        <w:tc>
          <w:tcPr>
            <w:tcW w:w="85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34"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40"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42"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全区一张网框架</w:t>
            </w:r>
          </w:p>
        </w:tc>
        <w:tc>
          <w:tcPr>
            <w:tcW w:w="61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定性</w:t>
            </w:r>
          </w:p>
        </w:tc>
        <w:tc>
          <w:tcPr>
            <w:tcW w:w="612"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13"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已完成</w:t>
            </w:r>
          </w:p>
        </w:tc>
        <w:tc>
          <w:tcPr>
            <w:tcW w:w="615"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已完成 </w:t>
            </w:r>
          </w:p>
        </w:tc>
        <w:tc>
          <w:tcPr>
            <w:tcW w:w="615"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1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14"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596"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1275" w:type="dxa"/>
          <w:trHeight w:val="480" w:hRule="atLeast"/>
        </w:trPr>
        <w:tc>
          <w:tcPr>
            <w:tcW w:w="85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34"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40"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42"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政府采购互联网发展</w:t>
            </w:r>
          </w:p>
        </w:tc>
        <w:tc>
          <w:tcPr>
            <w:tcW w:w="61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定性</w:t>
            </w:r>
          </w:p>
        </w:tc>
        <w:tc>
          <w:tcPr>
            <w:tcW w:w="612"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13"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持续推进</w:t>
            </w:r>
          </w:p>
        </w:tc>
        <w:tc>
          <w:tcPr>
            <w:tcW w:w="615"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持续推进</w:t>
            </w:r>
          </w:p>
        </w:tc>
        <w:tc>
          <w:tcPr>
            <w:tcW w:w="615"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1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14"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596"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1275" w:type="dxa"/>
          <w:trHeight w:val="480" w:hRule="atLeast"/>
        </w:trPr>
        <w:tc>
          <w:tcPr>
            <w:tcW w:w="85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34" w:type="dxa"/>
            <w:gridSpan w:val="3"/>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满意度指标</w:t>
            </w:r>
          </w:p>
        </w:tc>
        <w:tc>
          <w:tcPr>
            <w:tcW w:w="940" w:type="dxa"/>
            <w:gridSpan w:val="3"/>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服务对象满意度</w:t>
            </w:r>
          </w:p>
        </w:tc>
        <w:tc>
          <w:tcPr>
            <w:tcW w:w="942"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服务企业满意度</w:t>
            </w:r>
          </w:p>
        </w:tc>
        <w:tc>
          <w:tcPr>
            <w:tcW w:w="61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612"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613"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95</w:t>
            </w:r>
          </w:p>
        </w:tc>
        <w:tc>
          <w:tcPr>
            <w:tcW w:w="615"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95</w:t>
            </w:r>
          </w:p>
        </w:tc>
        <w:tc>
          <w:tcPr>
            <w:tcW w:w="61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百分比</w:t>
            </w:r>
          </w:p>
        </w:tc>
        <w:tc>
          <w:tcPr>
            <w:tcW w:w="61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14"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596"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1275" w:type="dxa"/>
          <w:trHeight w:val="480" w:hRule="atLeast"/>
        </w:trPr>
        <w:tc>
          <w:tcPr>
            <w:tcW w:w="85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34"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40"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42"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上级部门满意度</w:t>
            </w:r>
          </w:p>
        </w:tc>
        <w:tc>
          <w:tcPr>
            <w:tcW w:w="61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612"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613"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95</w:t>
            </w:r>
          </w:p>
        </w:tc>
        <w:tc>
          <w:tcPr>
            <w:tcW w:w="615"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95</w:t>
            </w:r>
          </w:p>
        </w:tc>
        <w:tc>
          <w:tcPr>
            <w:tcW w:w="61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百分比</w:t>
            </w:r>
          </w:p>
        </w:tc>
        <w:tc>
          <w:tcPr>
            <w:tcW w:w="61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14"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596"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1275" w:type="dxa"/>
          <w:trHeight w:val="480" w:hRule="atLeast"/>
        </w:trPr>
        <w:tc>
          <w:tcPr>
            <w:tcW w:w="6635" w:type="dxa"/>
            <w:gridSpan w:val="2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总分</w:t>
            </w:r>
          </w:p>
        </w:tc>
        <w:tc>
          <w:tcPr>
            <w:tcW w:w="61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614"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95.0</w:t>
            </w:r>
          </w:p>
        </w:tc>
        <w:tc>
          <w:tcPr>
            <w:tcW w:w="596"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9735" w:type="dxa"/>
            <w:gridSpan w:val="3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财政非税收缴电子化实施服务项目支出绩效自评表</w:t>
            </w:r>
            <w:r>
              <w:rPr>
                <w:rFonts w:hint="eastAsia" w:ascii="宋体" w:hAnsi="宋体" w:eastAsia="宋体" w:cs="宋体"/>
                <w:b/>
                <w:bCs/>
                <w:i w:val="0"/>
                <w:iCs w:val="0"/>
                <w:color w:val="000000"/>
                <w:kern w:val="0"/>
                <w:sz w:val="40"/>
                <w:szCs w:val="40"/>
                <w:u w:val="none"/>
                <w:bdr w:val="none" w:color="auto" w:sz="0" w:space="0"/>
                <w:lang w:val="en-US" w:eastAsia="zh-CN" w:bidi="ar"/>
              </w:rPr>
              <w:br w:type="textWrapping"/>
            </w:r>
            <w:r>
              <w:rPr>
                <w:rFonts w:hint="eastAsia" w:ascii="宋体" w:hAnsi="宋体" w:eastAsia="宋体" w:cs="宋体"/>
                <w:b/>
                <w:bCs/>
                <w:i w:val="0"/>
                <w:iCs w:val="0"/>
                <w:color w:val="000000"/>
                <w:kern w:val="0"/>
                <w:sz w:val="40"/>
                <w:szCs w:val="40"/>
                <w:u w:val="none"/>
                <w:bdr w:val="none" w:color="auto" w:sz="0" w:space="0"/>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0" w:hRule="atLeast"/>
        </w:trPr>
        <w:tc>
          <w:tcPr>
            <w:tcW w:w="1770"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项目名称</w:t>
            </w:r>
          </w:p>
        </w:tc>
        <w:tc>
          <w:tcPr>
            <w:tcW w:w="7965" w:type="dxa"/>
            <w:gridSpan w:val="3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财政非税收入收缴电子化实施服务项目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0" w:hRule="atLeast"/>
        </w:trPr>
        <w:tc>
          <w:tcPr>
            <w:tcW w:w="1770"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630" w:type="dxa"/>
            <w:gridSpan w:val="1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巴彦淖尔市财政局（部门）</w:t>
            </w:r>
          </w:p>
        </w:tc>
        <w:tc>
          <w:tcPr>
            <w:tcW w:w="1290"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实施单位</w:t>
            </w:r>
          </w:p>
        </w:tc>
        <w:tc>
          <w:tcPr>
            <w:tcW w:w="3045" w:type="dxa"/>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巴彦淖尔市财政局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0" w:hRule="atLeast"/>
        </w:trPr>
        <w:tc>
          <w:tcPr>
            <w:tcW w:w="1770" w:type="dxa"/>
            <w:gridSpan w:val="5"/>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项目资金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（万元）</w:t>
            </w:r>
          </w:p>
        </w:tc>
        <w:tc>
          <w:tcPr>
            <w:tcW w:w="930" w:type="dxa"/>
            <w:gridSpan w:val="4"/>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17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年初预算数</w:t>
            </w:r>
          </w:p>
        </w:tc>
        <w:tc>
          <w:tcPr>
            <w:tcW w:w="1530"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全年预算数</w:t>
            </w:r>
          </w:p>
        </w:tc>
        <w:tc>
          <w:tcPr>
            <w:tcW w:w="1290"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全年执行数</w:t>
            </w:r>
          </w:p>
        </w:tc>
        <w:tc>
          <w:tcPr>
            <w:tcW w:w="64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分值</w:t>
            </w:r>
          </w:p>
        </w:tc>
        <w:tc>
          <w:tcPr>
            <w:tcW w:w="1290"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执行率（%）</w:t>
            </w:r>
          </w:p>
        </w:tc>
        <w:tc>
          <w:tcPr>
            <w:tcW w:w="111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770" w:type="dxa"/>
            <w:gridSpan w:val="5"/>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3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年度资金总额</w:t>
            </w:r>
          </w:p>
        </w:tc>
        <w:tc>
          <w:tcPr>
            <w:tcW w:w="117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6.25</w:t>
            </w:r>
          </w:p>
        </w:tc>
        <w:tc>
          <w:tcPr>
            <w:tcW w:w="1530"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6.25</w:t>
            </w:r>
          </w:p>
        </w:tc>
        <w:tc>
          <w:tcPr>
            <w:tcW w:w="1290"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64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1290" w:type="dxa"/>
            <w:gridSpan w:val="6"/>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11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770" w:type="dxa"/>
            <w:gridSpan w:val="5"/>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3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其中：财政拨款</w:t>
            </w:r>
          </w:p>
        </w:tc>
        <w:tc>
          <w:tcPr>
            <w:tcW w:w="117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6.25</w:t>
            </w:r>
          </w:p>
        </w:tc>
        <w:tc>
          <w:tcPr>
            <w:tcW w:w="1530"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6.25</w:t>
            </w:r>
          </w:p>
        </w:tc>
        <w:tc>
          <w:tcPr>
            <w:tcW w:w="1290"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64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Arial" w:hAnsi="Arial" w:eastAsia="宋体" w:cs="Arial"/>
                <w:i w:val="0"/>
                <w:iCs w:val="0"/>
                <w:color w:val="222222"/>
                <w:sz w:val="19"/>
                <w:szCs w:val="19"/>
                <w:u w:val="none"/>
              </w:rPr>
            </w:pPr>
            <w:r>
              <w:rPr>
                <w:rFonts w:hint="default" w:ascii="Arial" w:hAnsi="Arial" w:eastAsia="宋体" w:cs="Arial"/>
                <w:i w:val="0"/>
                <w:iCs w:val="0"/>
                <w:color w:val="222222"/>
                <w:kern w:val="0"/>
                <w:sz w:val="19"/>
                <w:szCs w:val="19"/>
                <w:u w:val="none"/>
                <w:bdr w:val="none" w:color="auto" w:sz="0" w:space="0"/>
                <w:lang w:val="en-US" w:eastAsia="zh-CN" w:bidi="ar"/>
              </w:rPr>
              <w:t>——</w:t>
            </w:r>
          </w:p>
        </w:tc>
        <w:tc>
          <w:tcPr>
            <w:tcW w:w="1290"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w:t>
            </w:r>
          </w:p>
        </w:tc>
        <w:tc>
          <w:tcPr>
            <w:tcW w:w="111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222222"/>
                <w:sz w:val="19"/>
                <w:szCs w:val="19"/>
                <w:u w:val="none"/>
              </w:rPr>
            </w:pPr>
            <w:r>
              <w:rPr>
                <w:rFonts w:hint="default" w:ascii="Arial" w:hAnsi="Arial" w:eastAsia="宋体" w:cs="Arial"/>
                <w:i w:val="0"/>
                <w:iCs w:val="0"/>
                <w:color w:val="222222"/>
                <w:kern w:val="0"/>
                <w:sz w:val="19"/>
                <w:szCs w:val="19"/>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0" w:hRule="atLeast"/>
        </w:trPr>
        <w:tc>
          <w:tcPr>
            <w:tcW w:w="1770" w:type="dxa"/>
            <w:gridSpan w:val="5"/>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3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上年结转资金</w:t>
            </w:r>
          </w:p>
        </w:tc>
        <w:tc>
          <w:tcPr>
            <w:tcW w:w="117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1530"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1290"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64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222222"/>
                <w:sz w:val="19"/>
                <w:szCs w:val="19"/>
                <w:u w:val="none"/>
              </w:rPr>
            </w:pPr>
            <w:r>
              <w:rPr>
                <w:rFonts w:hint="default" w:ascii="Arial" w:hAnsi="Arial" w:eastAsia="宋体" w:cs="Arial"/>
                <w:i w:val="0"/>
                <w:iCs w:val="0"/>
                <w:color w:val="222222"/>
                <w:kern w:val="0"/>
                <w:sz w:val="19"/>
                <w:szCs w:val="19"/>
                <w:u w:val="none"/>
                <w:bdr w:val="none" w:color="auto" w:sz="0" w:space="0"/>
                <w:lang w:val="en-US" w:eastAsia="zh-CN" w:bidi="ar"/>
              </w:rPr>
              <w:t>——</w:t>
            </w:r>
          </w:p>
        </w:tc>
        <w:tc>
          <w:tcPr>
            <w:tcW w:w="1290"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w:t>
            </w:r>
          </w:p>
        </w:tc>
        <w:tc>
          <w:tcPr>
            <w:tcW w:w="111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222222"/>
                <w:sz w:val="19"/>
                <w:szCs w:val="19"/>
                <w:u w:val="none"/>
              </w:rPr>
            </w:pPr>
            <w:r>
              <w:rPr>
                <w:rFonts w:hint="default" w:ascii="Arial" w:hAnsi="Arial" w:eastAsia="宋体" w:cs="Arial"/>
                <w:i w:val="0"/>
                <w:iCs w:val="0"/>
                <w:color w:val="222222"/>
                <w:kern w:val="0"/>
                <w:sz w:val="19"/>
                <w:szCs w:val="19"/>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770" w:type="dxa"/>
            <w:gridSpan w:val="5"/>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3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其他资金</w:t>
            </w:r>
          </w:p>
        </w:tc>
        <w:tc>
          <w:tcPr>
            <w:tcW w:w="117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1530"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1290"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64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222222"/>
                <w:sz w:val="19"/>
                <w:szCs w:val="19"/>
                <w:u w:val="none"/>
              </w:rPr>
            </w:pPr>
            <w:r>
              <w:rPr>
                <w:rFonts w:hint="default" w:ascii="Arial" w:hAnsi="Arial" w:eastAsia="宋体" w:cs="Arial"/>
                <w:i w:val="0"/>
                <w:iCs w:val="0"/>
                <w:color w:val="222222"/>
                <w:kern w:val="0"/>
                <w:sz w:val="19"/>
                <w:szCs w:val="19"/>
                <w:u w:val="none"/>
                <w:bdr w:val="none" w:color="auto" w:sz="0" w:space="0"/>
                <w:lang w:val="en-US" w:eastAsia="zh-CN" w:bidi="ar"/>
              </w:rPr>
              <w:t>——</w:t>
            </w:r>
          </w:p>
        </w:tc>
        <w:tc>
          <w:tcPr>
            <w:tcW w:w="1290"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w:t>
            </w:r>
          </w:p>
        </w:tc>
        <w:tc>
          <w:tcPr>
            <w:tcW w:w="111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222222"/>
                <w:sz w:val="19"/>
                <w:szCs w:val="19"/>
                <w:u w:val="none"/>
              </w:rPr>
            </w:pPr>
            <w:r>
              <w:rPr>
                <w:rFonts w:hint="default" w:ascii="Arial" w:hAnsi="Arial" w:eastAsia="宋体" w:cs="Arial"/>
                <w:i w:val="0"/>
                <w:iCs w:val="0"/>
                <w:color w:val="222222"/>
                <w:kern w:val="0"/>
                <w:sz w:val="19"/>
                <w:szCs w:val="19"/>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0" w:hRule="atLeast"/>
        </w:trPr>
        <w:tc>
          <w:tcPr>
            <w:tcW w:w="1770" w:type="dxa"/>
            <w:gridSpan w:val="5"/>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年度总体目标</w:t>
            </w:r>
          </w:p>
        </w:tc>
        <w:tc>
          <w:tcPr>
            <w:tcW w:w="4275" w:type="dxa"/>
            <w:gridSpan w:val="1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预期目标</w:t>
            </w:r>
          </w:p>
        </w:tc>
        <w:tc>
          <w:tcPr>
            <w:tcW w:w="3690" w:type="dxa"/>
            <w:gridSpan w:val="1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trPr>
        <w:tc>
          <w:tcPr>
            <w:tcW w:w="1770" w:type="dxa"/>
            <w:gridSpan w:val="5"/>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75" w:type="dxa"/>
            <w:gridSpan w:val="1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目标1：保障非税收入收缴系统（升级改造）正常运转。</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目标2：提供财政非税收入收缴电子化适配器技术服务、实施联调测试，运行维护服务，保障系统正常运转。</w:t>
            </w:r>
          </w:p>
        </w:tc>
        <w:tc>
          <w:tcPr>
            <w:tcW w:w="3690" w:type="dxa"/>
            <w:gridSpan w:val="1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目标1：保障非税收入收缴系统（升级改造）正常运转。</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目标2：提供财政非税收入收缴电子化适配器技术服务、实施联调测试，运行维护服务，保障系统正常运转。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88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绩效指标</w:t>
            </w:r>
          </w:p>
        </w:tc>
        <w:tc>
          <w:tcPr>
            <w:tcW w:w="88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一级指标</w:t>
            </w:r>
          </w:p>
        </w:tc>
        <w:tc>
          <w:tcPr>
            <w:tcW w:w="93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二级指标</w:t>
            </w:r>
          </w:p>
        </w:tc>
        <w:tc>
          <w:tcPr>
            <w:tcW w:w="117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三级指标</w:t>
            </w:r>
          </w:p>
        </w:tc>
        <w:tc>
          <w:tcPr>
            <w:tcW w:w="76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指标性质</w:t>
            </w:r>
          </w:p>
        </w:tc>
        <w:tc>
          <w:tcPr>
            <w:tcW w:w="76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指标方向</w:t>
            </w:r>
          </w:p>
        </w:tc>
        <w:tc>
          <w:tcPr>
            <w:tcW w:w="64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年度指标值</w:t>
            </w:r>
          </w:p>
        </w:tc>
        <w:tc>
          <w:tcPr>
            <w:tcW w:w="64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实际完成值</w:t>
            </w:r>
          </w:p>
        </w:tc>
        <w:tc>
          <w:tcPr>
            <w:tcW w:w="64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计量单位</w:t>
            </w:r>
          </w:p>
        </w:tc>
        <w:tc>
          <w:tcPr>
            <w:tcW w:w="64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分值</w:t>
            </w:r>
          </w:p>
        </w:tc>
        <w:tc>
          <w:tcPr>
            <w:tcW w:w="64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得分</w:t>
            </w:r>
          </w:p>
        </w:tc>
        <w:tc>
          <w:tcPr>
            <w:tcW w:w="111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885" w:type="dxa"/>
            <w:gridSpan w:val="2"/>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绩效指标</w:t>
            </w:r>
          </w:p>
        </w:tc>
        <w:tc>
          <w:tcPr>
            <w:tcW w:w="885" w:type="dxa"/>
            <w:gridSpan w:val="3"/>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产出指标</w:t>
            </w:r>
          </w:p>
        </w:tc>
        <w:tc>
          <w:tcPr>
            <w:tcW w:w="930" w:type="dxa"/>
            <w:gridSpan w:val="4"/>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数量指标</w:t>
            </w:r>
          </w:p>
        </w:tc>
        <w:tc>
          <w:tcPr>
            <w:tcW w:w="117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系统咨询、维修维护次数</w:t>
            </w:r>
          </w:p>
        </w:tc>
        <w:tc>
          <w:tcPr>
            <w:tcW w:w="76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76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w:t>
            </w:r>
          </w:p>
        </w:tc>
        <w:tc>
          <w:tcPr>
            <w:tcW w:w="645"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次</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1110" w:type="dxa"/>
            <w:gridSpan w:val="2"/>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885" w:type="dxa"/>
            <w:gridSpan w:val="2"/>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85"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30" w:type="dxa"/>
            <w:gridSpan w:val="4"/>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17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系统培训</w:t>
            </w:r>
          </w:p>
        </w:tc>
        <w:tc>
          <w:tcPr>
            <w:tcW w:w="76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76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w:t>
            </w:r>
          </w:p>
        </w:tc>
        <w:tc>
          <w:tcPr>
            <w:tcW w:w="645"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次</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1110" w:type="dxa"/>
            <w:gridSpan w:val="2"/>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885" w:type="dxa"/>
            <w:gridSpan w:val="2"/>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85"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30" w:type="dxa"/>
            <w:gridSpan w:val="4"/>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质量指标</w:t>
            </w:r>
          </w:p>
        </w:tc>
        <w:tc>
          <w:tcPr>
            <w:tcW w:w="117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系统正常运行率</w:t>
            </w:r>
          </w:p>
        </w:tc>
        <w:tc>
          <w:tcPr>
            <w:tcW w:w="76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76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645"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百分比</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1110" w:type="dxa"/>
            <w:gridSpan w:val="2"/>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885" w:type="dxa"/>
            <w:gridSpan w:val="2"/>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85"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30" w:type="dxa"/>
            <w:gridSpan w:val="4"/>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17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培训合格率</w:t>
            </w:r>
          </w:p>
        </w:tc>
        <w:tc>
          <w:tcPr>
            <w:tcW w:w="76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76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等于</w:t>
            </w:r>
          </w:p>
        </w:tc>
        <w:tc>
          <w:tcPr>
            <w:tcW w:w="645"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百分比</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1110" w:type="dxa"/>
            <w:gridSpan w:val="2"/>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885" w:type="dxa"/>
            <w:gridSpan w:val="2"/>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85"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30" w:type="dxa"/>
            <w:gridSpan w:val="4"/>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时效指标</w:t>
            </w:r>
          </w:p>
        </w:tc>
        <w:tc>
          <w:tcPr>
            <w:tcW w:w="117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按时完成线上系统运行</w:t>
            </w:r>
          </w:p>
        </w:tc>
        <w:tc>
          <w:tcPr>
            <w:tcW w:w="76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定性</w:t>
            </w:r>
          </w:p>
        </w:tc>
        <w:tc>
          <w:tcPr>
            <w:tcW w:w="765"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w:t>
            </w:r>
          </w:p>
        </w:tc>
        <w:tc>
          <w:tcPr>
            <w:tcW w:w="645"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1110" w:type="dxa"/>
            <w:gridSpan w:val="2"/>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885" w:type="dxa"/>
            <w:gridSpan w:val="2"/>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85"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30" w:type="dxa"/>
            <w:gridSpan w:val="4"/>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17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培训天数</w:t>
            </w:r>
          </w:p>
        </w:tc>
        <w:tc>
          <w:tcPr>
            <w:tcW w:w="76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76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w:t>
            </w:r>
          </w:p>
        </w:tc>
        <w:tc>
          <w:tcPr>
            <w:tcW w:w="645"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天</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1110" w:type="dxa"/>
            <w:gridSpan w:val="2"/>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885" w:type="dxa"/>
            <w:gridSpan w:val="2"/>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85"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30" w:type="dxa"/>
            <w:gridSpan w:val="4"/>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成本指标</w:t>
            </w:r>
          </w:p>
        </w:tc>
        <w:tc>
          <w:tcPr>
            <w:tcW w:w="117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系统咨询、维修维护成本</w:t>
            </w:r>
          </w:p>
        </w:tc>
        <w:tc>
          <w:tcPr>
            <w:tcW w:w="76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76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等于</w:t>
            </w:r>
          </w:p>
        </w:tc>
        <w:tc>
          <w:tcPr>
            <w:tcW w:w="645"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6.25</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6.25</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万元</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1110" w:type="dxa"/>
            <w:gridSpan w:val="2"/>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885" w:type="dxa"/>
            <w:gridSpan w:val="2"/>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85"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30" w:type="dxa"/>
            <w:gridSpan w:val="4"/>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17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人均差旅成本</w:t>
            </w:r>
          </w:p>
        </w:tc>
        <w:tc>
          <w:tcPr>
            <w:tcW w:w="76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反向</w:t>
            </w:r>
          </w:p>
        </w:tc>
        <w:tc>
          <w:tcPr>
            <w:tcW w:w="76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小于等于</w:t>
            </w:r>
          </w:p>
        </w:tc>
        <w:tc>
          <w:tcPr>
            <w:tcW w:w="645"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480</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480</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元</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1110" w:type="dxa"/>
            <w:gridSpan w:val="2"/>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885" w:type="dxa"/>
            <w:gridSpan w:val="2"/>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85" w:type="dxa"/>
            <w:gridSpan w:val="3"/>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效益指标</w:t>
            </w:r>
          </w:p>
        </w:tc>
        <w:tc>
          <w:tcPr>
            <w:tcW w:w="930"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经济效益</w:t>
            </w:r>
          </w:p>
        </w:tc>
        <w:tc>
          <w:tcPr>
            <w:tcW w:w="117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保证执收单位系统的正常运行</w:t>
            </w:r>
          </w:p>
        </w:tc>
        <w:tc>
          <w:tcPr>
            <w:tcW w:w="76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76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645"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980</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百分比</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1110" w:type="dxa"/>
            <w:gridSpan w:val="2"/>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885" w:type="dxa"/>
            <w:gridSpan w:val="2"/>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85"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30"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社会效益</w:t>
            </w:r>
          </w:p>
        </w:tc>
        <w:tc>
          <w:tcPr>
            <w:tcW w:w="117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提高工作效率，提高服务效能</w:t>
            </w:r>
          </w:p>
        </w:tc>
        <w:tc>
          <w:tcPr>
            <w:tcW w:w="76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定性</w:t>
            </w:r>
          </w:p>
        </w:tc>
        <w:tc>
          <w:tcPr>
            <w:tcW w:w="765"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显著</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显著</w:t>
            </w:r>
          </w:p>
        </w:tc>
        <w:tc>
          <w:tcPr>
            <w:tcW w:w="645"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1110" w:type="dxa"/>
            <w:gridSpan w:val="2"/>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885" w:type="dxa"/>
            <w:gridSpan w:val="2"/>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85"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30"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可持续影响</w:t>
            </w:r>
          </w:p>
        </w:tc>
        <w:tc>
          <w:tcPr>
            <w:tcW w:w="117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保证非税收入收缴电子化系统正常运行</w:t>
            </w:r>
          </w:p>
        </w:tc>
        <w:tc>
          <w:tcPr>
            <w:tcW w:w="76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定性</w:t>
            </w:r>
          </w:p>
        </w:tc>
        <w:tc>
          <w:tcPr>
            <w:tcW w:w="765"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显著</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显著</w:t>
            </w:r>
          </w:p>
        </w:tc>
        <w:tc>
          <w:tcPr>
            <w:tcW w:w="645"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1110" w:type="dxa"/>
            <w:gridSpan w:val="2"/>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885" w:type="dxa"/>
            <w:gridSpan w:val="2"/>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85" w:type="dxa"/>
            <w:gridSpan w:val="3"/>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满意度指标</w:t>
            </w:r>
          </w:p>
        </w:tc>
        <w:tc>
          <w:tcPr>
            <w:tcW w:w="930" w:type="dxa"/>
            <w:gridSpan w:val="4"/>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服务对象满意度</w:t>
            </w:r>
          </w:p>
        </w:tc>
        <w:tc>
          <w:tcPr>
            <w:tcW w:w="117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预算单位满意度</w:t>
            </w:r>
          </w:p>
        </w:tc>
        <w:tc>
          <w:tcPr>
            <w:tcW w:w="76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76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645"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百分比</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1110" w:type="dxa"/>
            <w:gridSpan w:val="2"/>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885" w:type="dxa"/>
            <w:gridSpan w:val="2"/>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85"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30" w:type="dxa"/>
            <w:gridSpan w:val="4"/>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17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代理银行满意</w:t>
            </w:r>
          </w:p>
        </w:tc>
        <w:tc>
          <w:tcPr>
            <w:tcW w:w="76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76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645"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百分比</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1110" w:type="dxa"/>
            <w:gridSpan w:val="2"/>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335" w:type="dxa"/>
            <w:gridSpan w:val="2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总分</w:t>
            </w:r>
          </w:p>
        </w:tc>
        <w:tc>
          <w:tcPr>
            <w:tcW w:w="64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64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90</w:t>
            </w:r>
          </w:p>
        </w:tc>
        <w:tc>
          <w:tcPr>
            <w:tcW w:w="111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bl>
    <w:p>
      <w:pPr>
        <w:pStyle w:val="2"/>
        <w:rPr>
          <w:rFonts w:hint="eastAsia"/>
        </w:rPr>
      </w:pPr>
    </w:p>
    <w:tbl>
      <w:tblPr>
        <w:tblW w:w="885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163"/>
        <w:gridCol w:w="1163"/>
        <w:gridCol w:w="642"/>
        <w:gridCol w:w="756"/>
        <w:gridCol w:w="634"/>
        <w:gridCol w:w="634"/>
        <w:gridCol w:w="634"/>
        <w:gridCol w:w="634"/>
        <w:gridCol w:w="643"/>
        <w:gridCol w:w="638"/>
        <w:gridCol w:w="666"/>
        <w:gridCol w:w="6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8850" w:type="dxa"/>
            <w:gridSpan w:val="1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国有资产及国有企业管理项目支出绩效自评表</w:t>
            </w:r>
            <w:r>
              <w:rPr>
                <w:rFonts w:hint="eastAsia" w:ascii="宋体" w:hAnsi="宋体" w:eastAsia="宋体" w:cs="宋体"/>
                <w:b/>
                <w:bCs/>
                <w:i w:val="0"/>
                <w:iCs w:val="0"/>
                <w:color w:val="000000"/>
                <w:kern w:val="0"/>
                <w:sz w:val="40"/>
                <w:szCs w:val="40"/>
                <w:u w:val="none"/>
                <w:bdr w:val="none" w:color="auto" w:sz="0" w:space="0"/>
                <w:lang w:val="en-US" w:eastAsia="zh-CN" w:bidi="ar"/>
              </w:rPr>
              <w:br w:type="textWrapping"/>
            </w:r>
            <w:r>
              <w:rPr>
                <w:rFonts w:hint="eastAsia" w:ascii="宋体" w:hAnsi="宋体" w:eastAsia="宋体" w:cs="宋体"/>
                <w:b/>
                <w:bCs/>
                <w:i w:val="0"/>
                <w:iCs w:val="0"/>
                <w:color w:val="000000"/>
                <w:kern w:val="0"/>
                <w:sz w:val="40"/>
                <w:szCs w:val="40"/>
                <w:u w:val="none"/>
                <w:bdr w:val="none" w:color="auto" w:sz="0" w:space="0"/>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0" w:hRule="atLeast"/>
        </w:trPr>
        <w:tc>
          <w:tcPr>
            <w:tcW w:w="240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项目名称</w:t>
            </w:r>
          </w:p>
        </w:tc>
        <w:tc>
          <w:tcPr>
            <w:tcW w:w="6450" w:type="dxa"/>
            <w:gridSpan w:val="10"/>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国有资产及国有企业管理经费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0" w:hRule="atLeast"/>
        </w:trPr>
        <w:tc>
          <w:tcPr>
            <w:tcW w:w="240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258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巴彦淖尔市财政局（部门）</w:t>
            </w:r>
          </w:p>
        </w:tc>
        <w:tc>
          <w:tcPr>
            <w:tcW w:w="129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实施单位</w:t>
            </w:r>
          </w:p>
        </w:tc>
        <w:tc>
          <w:tcPr>
            <w:tcW w:w="258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巴彦淖尔市国有资产服务中心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0" w:hRule="atLeast"/>
        </w:trPr>
        <w:tc>
          <w:tcPr>
            <w:tcW w:w="2400"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项目资金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（万元）</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年初预算数</w:t>
            </w:r>
          </w:p>
        </w:tc>
        <w:tc>
          <w:tcPr>
            <w:tcW w:w="129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全年预算数</w:t>
            </w:r>
          </w:p>
        </w:tc>
        <w:tc>
          <w:tcPr>
            <w:tcW w:w="129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全年执行数</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分值</w:t>
            </w:r>
          </w:p>
        </w:tc>
        <w:tc>
          <w:tcPr>
            <w:tcW w:w="129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执行率（%）</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0" w:hRule="atLeast"/>
        </w:trPr>
        <w:tc>
          <w:tcPr>
            <w:tcW w:w="240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年度资金总额</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100.00</w:t>
            </w:r>
          </w:p>
        </w:tc>
        <w:tc>
          <w:tcPr>
            <w:tcW w:w="129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100.00</w:t>
            </w:r>
          </w:p>
        </w:tc>
        <w:tc>
          <w:tcPr>
            <w:tcW w:w="129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54.76</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129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54.76</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0" w:hRule="atLeast"/>
        </w:trPr>
        <w:tc>
          <w:tcPr>
            <w:tcW w:w="240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其中：财政拨款</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100.00</w:t>
            </w:r>
          </w:p>
        </w:tc>
        <w:tc>
          <w:tcPr>
            <w:tcW w:w="129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100.00</w:t>
            </w:r>
          </w:p>
        </w:tc>
        <w:tc>
          <w:tcPr>
            <w:tcW w:w="129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54.76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Arial" w:hAnsi="Arial" w:eastAsia="宋体" w:cs="Arial"/>
                <w:i w:val="0"/>
                <w:iCs w:val="0"/>
                <w:color w:val="222222"/>
                <w:sz w:val="19"/>
                <w:szCs w:val="19"/>
                <w:u w:val="none"/>
              </w:rPr>
            </w:pPr>
            <w:r>
              <w:rPr>
                <w:rFonts w:hint="default" w:ascii="Arial" w:hAnsi="Arial" w:eastAsia="宋体" w:cs="Arial"/>
                <w:i w:val="0"/>
                <w:iCs w:val="0"/>
                <w:color w:val="222222"/>
                <w:kern w:val="0"/>
                <w:sz w:val="19"/>
                <w:szCs w:val="19"/>
                <w:u w:val="none"/>
                <w:bdr w:val="none" w:color="auto" w:sz="0" w:space="0"/>
                <w:lang w:val="en-US" w:eastAsia="zh-CN" w:bidi="ar"/>
              </w:rPr>
              <w:t>——</w:t>
            </w:r>
          </w:p>
        </w:tc>
        <w:tc>
          <w:tcPr>
            <w:tcW w:w="129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54.76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222222"/>
                <w:sz w:val="19"/>
                <w:szCs w:val="19"/>
                <w:u w:val="none"/>
              </w:rPr>
            </w:pPr>
            <w:r>
              <w:rPr>
                <w:rFonts w:hint="default" w:ascii="Arial" w:hAnsi="Arial" w:eastAsia="宋体" w:cs="Arial"/>
                <w:i w:val="0"/>
                <w:iCs w:val="0"/>
                <w:color w:val="222222"/>
                <w:kern w:val="0"/>
                <w:sz w:val="19"/>
                <w:szCs w:val="19"/>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0" w:hRule="atLeast"/>
        </w:trPr>
        <w:tc>
          <w:tcPr>
            <w:tcW w:w="240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上年结转资金</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129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129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222222"/>
                <w:sz w:val="19"/>
                <w:szCs w:val="19"/>
                <w:u w:val="none"/>
              </w:rPr>
            </w:pPr>
            <w:r>
              <w:rPr>
                <w:rFonts w:hint="default" w:ascii="Arial" w:hAnsi="Arial" w:eastAsia="宋体" w:cs="Arial"/>
                <w:i w:val="0"/>
                <w:iCs w:val="0"/>
                <w:color w:val="222222"/>
                <w:kern w:val="0"/>
                <w:sz w:val="19"/>
                <w:szCs w:val="19"/>
                <w:u w:val="none"/>
                <w:bdr w:val="none" w:color="auto" w:sz="0" w:space="0"/>
                <w:lang w:val="en-US" w:eastAsia="zh-CN" w:bidi="ar"/>
              </w:rPr>
              <w:t>——</w:t>
            </w:r>
          </w:p>
        </w:tc>
        <w:tc>
          <w:tcPr>
            <w:tcW w:w="129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222222"/>
                <w:sz w:val="19"/>
                <w:szCs w:val="19"/>
                <w:u w:val="none"/>
              </w:rPr>
            </w:pPr>
            <w:r>
              <w:rPr>
                <w:rFonts w:hint="default" w:ascii="Arial" w:hAnsi="Arial" w:eastAsia="宋体" w:cs="Arial"/>
                <w:i w:val="0"/>
                <w:iCs w:val="0"/>
                <w:color w:val="222222"/>
                <w:kern w:val="0"/>
                <w:sz w:val="19"/>
                <w:szCs w:val="19"/>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0" w:hRule="atLeast"/>
        </w:trPr>
        <w:tc>
          <w:tcPr>
            <w:tcW w:w="240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其他资金</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129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129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222222"/>
                <w:sz w:val="19"/>
                <w:szCs w:val="19"/>
                <w:u w:val="none"/>
              </w:rPr>
            </w:pPr>
            <w:r>
              <w:rPr>
                <w:rFonts w:hint="default" w:ascii="Arial" w:hAnsi="Arial" w:eastAsia="宋体" w:cs="Arial"/>
                <w:i w:val="0"/>
                <w:iCs w:val="0"/>
                <w:color w:val="222222"/>
                <w:kern w:val="0"/>
                <w:sz w:val="19"/>
                <w:szCs w:val="19"/>
                <w:u w:val="none"/>
                <w:bdr w:val="none" w:color="auto" w:sz="0" w:space="0"/>
                <w:lang w:val="en-US" w:eastAsia="zh-CN" w:bidi="ar"/>
              </w:rPr>
              <w:t>——</w:t>
            </w:r>
          </w:p>
        </w:tc>
        <w:tc>
          <w:tcPr>
            <w:tcW w:w="129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222222"/>
                <w:sz w:val="19"/>
                <w:szCs w:val="19"/>
                <w:u w:val="none"/>
              </w:rPr>
            </w:pPr>
            <w:r>
              <w:rPr>
                <w:rFonts w:hint="default" w:ascii="Arial" w:hAnsi="Arial" w:eastAsia="宋体" w:cs="Arial"/>
                <w:i w:val="0"/>
                <w:iCs w:val="0"/>
                <w:color w:val="222222"/>
                <w:kern w:val="0"/>
                <w:sz w:val="19"/>
                <w:szCs w:val="19"/>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0" w:hRule="atLeast"/>
        </w:trPr>
        <w:tc>
          <w:tcPr>
            <w:tcW w:w="2400"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年度总体目标</w:t>
            </w:r>
          </w:p>
        </w:tc>
        <w:tc>
          <w:tcPr>
            <w:tcW w:w="322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预期目标</w:t>
            </w:r>
          </w:p>
        </w:tc>
        <w:tc>
          <w:tcPr>
            <w:tcW w:w="322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0" w:hRule="atLeast"/>
        </w:trPr>
        <w:tc>
          <w:tcPr>
            <w:tcW w:w="240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22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落实国企改革三年行动工作部署，通过系统实时监管，有效掌握国企动态，切实提升改革综合成效，增强国有经济竞争力、创新力、控制力、影响力、抗风险能力；</w:t>
            </w:r>
          </w:p>
        </w:tc>
        <w:tc>
          <w:tcPr>
            <w:tcW w:w="322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落实国企改革三年行动工作部署，通过系统实时监管，有效掌握国企动态，切实提升改革综合成效，增强国有经济竞争力、创新力、控制力、影响力、抗风险能力；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0" w:hRule="atLeast"/>
        </w:trPr>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绩效指标</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一级指标</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二级指标</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三级指标</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指标性质</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指标方向</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年度指标值</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实际完成值</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计量单位</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分值</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得分</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1200"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绩效指标</w:t>
            </w:r>
          </w:p>
        </w:tc>
        <w:tc>
          <w:tcPr>
            <w:tcW w:w="1200"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产出指标</w:t>
            </w:r>
          </w:p>
        </w:tc>
        <w:tc>
          <w:tcPr>
            <w:tcW w:w="645"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数量指标</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系统运行维护</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次</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45"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业务培训</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次</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45"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委托服务项目</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45"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840" w:hRule="atLeast"/>
        </w:trPr>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质量指标</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系统运行达标率</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95</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95</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45"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业务培训合格率</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45"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委托服务项目完成率</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45"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时效指标</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系统响应及时性</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定性</w:t>
            </w:r>
          </w:p>
        </w:tc>
        <w:tc>
          <w:tcPr>
            <w:tcW w:w="645"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及时</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及时</w:t>
            </w:r>
          </w:p>
        </w:tc>
        <w:tc>
          <w:tcPr>
            <w:tcW w:w="645"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645"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培训完成及时性</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定性</w:t>
            </w:r>
          </w:p>
        </w:tc>
        <w:tc>
          <w:tcPr>
            <w:tcW w:w="645"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按计划实际完成</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按计划完成</w:t>
            </w:r>
          </w:p>
        </w:tc>
        <w:tc>
          <w:tcPr>
            <w:tcW w:w="645"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45"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840" w:hRule="atLeast"/>
        </w:trPr>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委托服务项目完成及时性</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定性</w:t>
            </w:r>
          </w:p>
        </w:tc>
        <w:tc>
          <w:tcPr>
            <w:tcW w:w="645"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按合同约定完成</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按合同约定完成</w:t>
            </w:r>
          </w:p>
        </w:tc>
        <w:tc>
          <w:tcPr>
            <w:tcW w:w="645"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45"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成本指标</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系统运行维护费</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反向</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小于等于</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万/年</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45"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业务培训费</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反向</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小于等于</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万/次</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45"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委托服务项目</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反向</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小于等于</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万/项</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45"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项目管理工作经费</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反向</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小于等于</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万/年</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45"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资产管理信息系统建设及维护</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反向</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小于等于</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万/年</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45"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00"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效益指标</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经济效益</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国有资产运行情况</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定性</w:t>
            </w:r>
          </w:p>
        </w:tc>
        <w:tc>
          <w:tcPr>
            <w:tcW w:w="645"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良好</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良好</w:t>
            </w:r>
          </w:p>
        </w:tc>
        <w:tc>
          <w:tcPr>
            <w:tcW w:w="645"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45"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社会效益</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深化国企改革优化资源配置激发企业活力</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定性</w:t>
            </w:r>
          </w:p>
        </w:tc>
        <w:tc>
          <w:tcPr>
            <w:tcW w:w="645"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显著提高</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显著提高</w:t>
            </w:r>
          </w:p>
        </w:tc>
        <w:tc>
          <w:tcPr>
            <w:tcW w:w="645"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45"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保障国有资产保值增值</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定性</w:t>
            </w:r>
          </w:p>
        </w:tc>
        <w:tc>
          <w:tcPr>
            <w:tcW w:w="645"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显著提高</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显著提高</w:t>
            </w:r>
          </w:p>
        </w:tc>
        <w:tc>
          <w:tcPr>
            <w:tcW w:w="645"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w:t>
            </w:r>
          </w:p>
        </w:tc>
        <w:tc>
          <w:tcPr>
            <w:tcW w:w="645"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40" w:hRule="atLeast"/>
        </w:trPr>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可持续影响</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推进国企改革行动</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定性</w:t>
            </w:r>
          </w:p>
        </w:tc>
        <w:tc>
          <w:tcPr>
            <w:tcW w:w="645"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持续推进</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持续推进</w:t>
            </w:r>
          </w:p>
        </w:tc>
        <w:tc>
          <w:tcPr>
            <w:tcW w:w="645"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45"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国有资产保值增值</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定性</w:t>
            </w:r>
          </w:p>
        </w:tc>
        <w:tc>
          <w:tcPr>
            <w:tcW w:w="645"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有所提升</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有所提升</w:t>
            </w:r>
          </w:p>
        </w:tc>
        <w:tc>
          <w:tcPr>
            <w:tcW w:w="645"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645"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00"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满意度指标</w:t>
            </w:r>
          </w:p>
        </w:tc>
        <w:tc>
          <w:tcPr>
            <w:tcW w:w="645"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服务对象满意度</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服务企业满意度</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95</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95</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45"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上级部门满意度</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95</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95</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45"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6915" w:type="dxa"/>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总分</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90.48</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bl>
    <w:p>
      <w:pPr>
        <w:spacing w:beforeLines="0" w:afterLines="0" w:line="560" w:lineRule="exact"/>
        <w:ind w:firstLine="640"/>
        <w:jc w:val="both"/>
        <w:rPr>
          <w:rFonts w:hint="eastAsia" w:ascii="仿宋_GB2312" w:hAnsi="仿宋_GB2312" w:eastAsia="仿宋_GB2312"/>
          <w:color w:val="0000FF"/>
          <w:kern w:val="2"/>
          <w:sz w:val="32"/>
          <w:szCs w:val="24"/>
        </w:rPr>
      </w:pPr>
    </w:p>
    <w:p>
      <w:pPr>
        <w:spacing w:beforeLines="0" w:afterLines="0"/>
        <w:ind w:firstLine="643"/>
        <w:jc w:val="both"/>
        <w:rPr>
          <w:rFonts w:hint="default" w:ascii="Times New Roman" w:hAnsi="Times New Roman" w:eastAsia="Times New Roman"/>
          <w:b/>
          <w:color w:val="auto"/>
          <w:kern w:val="2"/>
          <w:sz w:val="32"/>
          <w:szCs w:val="24"/>
        </w:rPr>
      </w:pPr>
      <w:r>
        <w:rPr>
          <w:rFonts w:hint="eastAsia" w:ascii="楷体" w:hAnsi="楷体" w:eastAsia="楷体"/>
          <w:b/>
          <w:color w:val="auto"/>
          <w:kern w:val="2"/>
          <w:sz w:val="32"/>
          <w:szCs w:val="24"/>
        </w:rPr>
        <w:t>（三）部门项目绩效评价结果。</w:t>
      </w:r>
    </w:p>
    <w:p>
      <w:pPr>
        <w:spacing w:beforeLines="0" w:afterLines="0"/>
        <w:ind w:firstLine="640"/>
        <w:jc w:val="both"/>
        <w:rPr>
          <w:rFonts w:hint="eastAsia" w:ascii="仿宋" w:hAnsi="仿宋" w:eastAsia="仿宋" w:cs="仿宋"/>
          <w:sz w:val="32"/>
          <w:szCs w:val="32"/>
        </w:rPr>
      </w:pPr>
      <w:r>
        <w:rPr>
          <w:rFonts w:hint="eastAsia" w:ascii="仿宋_GB2312" w:hAnsi="仿宋_GB2312" w:eastAsia="仿宋_GB2312"/>
          <w:color w:val="auto"/>
          <w:kern w:val="2"/>
          <w:sz w:val="32"/>
          <w:szCs w:val="24"/>
        </w:rPr>
        <w:t>以</w:t>
      </w:r>
      <w:r>
        <w:rPr>
          <w:rFonts w:hint="eastAsia" w:ascii="Times New Roman" w:hAnsi="Times New Roman" w:eastAsia="宋体"/>
          <w:color w:val="auto"/>
          <w:kern w:val="2"/>
          <w:sz w:val="32"/>
          <w:szCs w:val="24"/>
          <w:lang w:val="en-US" w:eastAsia="zh-CN"/>
        </w:rPr>
        <w:t>财政专项工作经费</w:t>
      </w:r>
      <w:r>
        <w:rPr>
          <w:rFonts w:hint="eastAsia" w:ascii="仿宋_GB2312" w:hAnsi="仿宋_GB2312" w:eastAsia="仿宋_GB2312"/>
          <w:color w:val="auto"/>
          <w:kern w:val="2"/>
          <w:sz w:val="32"/>
          <w:szCs w:val="24"/>
        </w:rPr>
        <w:t>项目为例，该项目绩效评价综合得分为</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99.88</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分，绩效评价结果为</w:t>
      </w:r>
      <w:r>
        <w:rPr>
          <w:rFonts w:hint="default" w:ascii="仿宋_GB2312" w:hAnsi="仿宋_GB2312" w:eastAsia="仿宋_GB2312"/>
          <w:color w:val="auto"/>
          <w:kern w:val="2"/>
          <w:sz w:val="32"/>
          <w:szCs w:val="24"/>
        </w:rPr>
        <w:t>“</w:t>
      </w:r>
      <w:r>
        <w:rPr>
          <w:rFonts w:hint="eastAsia" w:ascii="仿宋_GB2312" w:hAnsi="仿宋_GB2312" w:eastAsia="仿宋_GB2312"/>
          <w:color w:val="auto"/>
          <w:kern w:val="2"/>
          <w:sz w:val="32"/>
          <w:szCs w:val="24"/>
        </w:rPr>
        <w:t>优</w:t>
      </w:r>
      <w:r>
        <w:rPr>
          <w:rFonts w:hint="default" w:ascii="仿宋_GB2312" w:hAnsi="仿宋_GB2312" w:eastAsia="仿宋_GB2312"/>
          <w:color w:val="auto"/>
          <w:kern w:val="2"/>
          <w:sz w:val="32"/>
          <w:szCs w:val="24"/>
        </w:rPr>
        <w:t>”</w:t>
      </w:r>
      <w:r>
        <w:rPr>
          <w:rFonts w:hint="eastAsia" w:ascii="仿宋_GB2312" w:hAnsi="仿宋_GB2312" w:eastAsia="仿宋_GB2312"/>
          <w:color w:val="auto"/>
          <w:kern w:val="2"/>
          <w:sz w:val="32"/>
          <w:szCs w:val="24"/>
        </w:rPr>
        <w:t>。重点项目绩效评价得分情况详见部门具体绩效评价结果。</w:t>
      </w:r>
    </w:p>
    <w:p>
      <w:pPr>
        <w:pStyle w:val="5"/>
        <w:keepNext/>
        <w:keepLines/>
        <w:tabs>
          <w:tab w:val="left" w:pos="4392"/>
        </w:tabs>
        <w:spacing w:beforeLines="0" w:afterLines="0" w:line="360" w:lineRule="auto"/>
        <w:jc w:val="center"/>
        <w:rPr>
          <w:rFonts w:hint="eastAsia" w:ascii="仿宋" w:hAnsi="仿宋" w:eastAsia="仿宋" w:cs="仿宋"/>
          <w:color w:val="auto"/>
          <w:kern w:val="2"/>
          <w:sz w:val="44"/>
          <w:szCs w:val="44"/>
        </w:rPr>
      </w:pPr>
      <w:r>
        <w:rPr>
          <w:rFonts w:hint="eastAsia" w:ascii="仿宋" w:hAnsi="仿宋" w:eastAsia="仿宋" w:cs="仿宋"/>
          <w:color w:val="auto"/>
          <w:kern w:val="2"/>
          <w:sz w:val="44"/>
          <w:szCs w:val="44"/>
        </w:rPr>
        <w:t>第三部分  名词解释</w:t>
      </w:r>
    </w:p>
    <w:p>
      <w:pPr>
        <w:spacing w:beforeLines="0" w:afterLines="0" w:line="560" w:lineRule="exact"/>
        <w:ind w:firstLine="643"/>
        <w:jc w:val="both"/>
        <w:rPr>
          <w:rFonts w:hint="default" w:ascii="Times New Roman" w:hAnsi="Times New Roman" w:eastAsia="Times New Roman"/>
          <w:color w:val="auto"/>
          <w:kern w:val="2"/>
          <w:sz w:val="32"/>
          <w:szCs w:val="24"/>
        </w:rPr>
      </w:pPr>
      <w:r>
        <w:rPr>
          <w:rFonts w:hint="eastAsia" w:ascii="仿宋_GB2312" w:hAnsi="仿宋_GB2312" w:eastAsia="仿宋_GB2312"/>
          <w:b/>
          <w:color w:val="auto"/>
          <w:kern w:val="2"/>
          <w:sz w:val="32"/>
          <w:szCs w:val="24"/>
        </w:rPr>
        <w:t>一、财政拨款收入：</w:t>
      </w:r>
      <w:r>
        <w:rPr>
          <w:rFonts w:hint="eastAsia" w:ascii="仿宋_GB2312" w:hAnsi="仿宋_GB2312" w:eastAsia="仿宋_GB2312"/>
          <w:color w:val="auto"/>
          <w:kern w:val="2"/>
          <w:sz w:val="32"/>
          <w:szCs w:val="24"/>
        </w:rPr>
        <w:t>从同级财政部门取得的各类财政拨款，包括一般公共预算财政拨款、政府性基金预算财政拨款、国有资本经营预算财政拨款。</w:t>
      </w:r>
    </w:p>
    <w:p>
      <w:pPr>
        <w:spacing w:beforeLines="0" w:afterLines="0" w:line="560" w:lineRule="exact"/>
        <w:ind w:firstLine="643"/>
        <w:jc w:val="both"/>
        <w:rPr>
          <w:rFonts w:hint="default" w:ascii="Times New Roman" w:hAnsi="Times New Roman" w:eastAsia="Times New Roman"/>
          <w:color w:val="auto"/>
          <w:kern w:val="2"/>
          <w:sz w:val="32"/>
          <w:szCs w:val="24"/>
        </w:rPr>
      </w:pPr>
      <w:r>
        <w:rPr>
          <w:rFonts w:hint="eastAsia" w:ascii="仿宋_GB2312" w:hAnsi="仿宋_GB2312" w:eastAsia="仿宋_GB2312"/>
          <w:b/>
          <w:color w:val="auto"/>
          <w:kern w:val="2"/>
          <w:sz w:val="32"/>
          <w:szCs w:val="24"/>
        </w:rPr>
        <w:t>二、上级补助收入：</w:t>
      </w:r>
      <w:r>
        <w:rPr>
          <w:rFonts w:hint="eastAsia" w:ascii="仿宋_GB2312" w:hAnsi="仿宋_GB2312" w:eastAsia="仿宋_GB2312"/>
          <w:color w:val="auto"/>
          <w:kern w:val="2"/>
          <w:sz w:val="32"/>
          <w:szCs w:val="24"/>
        </w:rPr>
        <w:t>指事业单位从主管部门和上级单位取得的非财政补助收入。</w:t>
      </w:r>
    </w:p>
    <w:p>
      <w:pPr>
        <w:spacing w:beforeLines="0" w:afterLines="0" w:line="560" w:lineRule="exact"/>
        <w:ind w:firstLine="643"/>
        <w:jc w:val="both"/>
        <w:rPr>
          <w:rFonts w:hint="default" w:ascii="Times New Roman" w:hAnsi="Times New Roman" w:eastAsia="Times New Roman"/>
          <w:color w:val="auto"/>
          <w:kern w:val="2"/>
          <w:sz w:val="32"/>
          <w:szCs w:val="24"/>
        </w:rPr>
      </w:pPr>
      <w:r>
        <w:rPr>
          <w:rFonts w:hint="eastAsia" w:ascii="仿宋_GB2312" w:hAnsi="仿宋_GB2312" w:eastAsia="仿宋_GB2312"/>
          <w:b/>
          <w:color w:val="auto"/>
          <w:kern w:val="2"/>
          <w:sz w:val="32"/>
          <w:szCs w:val="24"/>
        </w:rPr>
        <w:t>三、财政专户管理教育收费：</w:t>
      </w:r>
      <w:r>
        <w:rPr>
          <w:rFonts w:hint="eastAsia" w:ascii="仿宋_GB2312" w:hAnsi="仿宋_GB2312" w:eastAsia="仿宋_GB2312"/>
          <w:color w:val="auto"/>
          <w:kern w:val="2"/>
          <w:sz w:val="32"/>
          <w:szCs w:val="24"/>
        </w:rPr>
        <w:t>指缴入财政专户、实行专项管理的高中以上学费、住宿费、高校委托培养费、函大、电大、夜大及短训班培训费等教育收费。</w:t>
      </w:r>
    </w:p>
    <w:p>
      <w:pPr>
        <w:spacing w:beforeLines="0" w:afterLines="0" w:line="560" w:lineRule="exact"/>
        <w:ind w:firstLine="643"/>
        <w:jc w:val="both"/>
        <w:rPr>
          <w:rFonts w:hint="default" w:ascii="Times New Roman" w:hAnsi="Times New Roman" w:eastAsia="Times New Roman"/>
          <w:color w:val="auto"/>
          <w:kern w:val="2"/>
          <w:sz w:val="32"/>
          <w:szCs w:val="24"/>
        </w:rPr>
      </w:pPr>
      <w:r>
        <w:rPr>
          <w:rFonts w:hint="eastAsia" w:ascii="仿宋_GB2312" w:hAnsi="仿宋_GB2312" w:eastAsia="仿宋_GB2312"/>
          <w:b/>
          <w:color w:val="auto"/>
          <w:kern w:val="2"/>
          <w:sz w:val="32"/>
          <w:szCs w:val="24"/>
        </w:rPr>
        <w:t>四、事业收入：</w:t>
      </w:r>
      <w:r>
        <w:rPr>
          <w:rFonts w:hint="eastAsia" w:ascii="仿宋_GB2312" w:hAnsi="仿宋_GB2312" w:eastAsia="仿宋_GB2312"/>
          <w:color w:val="auto"/>
          <w:kern w:val="2"/>
          <w:sz w:val="32"/>
          <w:szCs w:val="24"/>
        </w:rPr>
        <w:t>指事业单位开展专业业务活动及其辅助活动取得的收入。</w:t>
      </w:r>
    </w:p>
    <w:p>
      <w:pPr>
        <w:spacing w:beforeLines="0" w:afterLines="0" w:line="560" w:lineRule="exact"/>
        <w:ind w:firstLine="643"/>
        <w:jc w:val="both"/>
        <w:rPr>
          <w:rFonts w:hint="default" w:ascii="Times New Roman" w:hAnsi="Times New Roman" w:eastAsia="Times New Roman"/>
          <w:color w:val="auto"/>
          <w:kern w:val="2"/>
          <w:sz w:val="32"/>
          <w:szCs w:val="24"/>
        </w:rPr>
      </w:pPr>
      <w:r>
        <w:rPr>
          <w:rFonts w:hint="eastAsia" w:ascii="仿宋_GB2312" w:hAnsi="仿宋_GB2312" w:eastAsia="仿宋_GB2312"/>
          <w:b/>
          <w:color w:val="auto"/>
          <w:kern w:val="2"/>
          <w:sz w:val="32"/>
          <w:szCs w:val="24"/>
        </w:rPr>
        <w:t>五、经营收入：</w:t>
      </w:r>
      <w:r>
        <w:rPr>
          <w:rFonts w:hint="eastAsia" w:ascii="仿宋_GB2312" w:hAnsi="仿宋_GB2312" w:eastAsia="仿宋_GB2312"/>
          <w:color w:val="auto"/>
          <w:kern w:val="2"/>
          <w:sz w:val="32"/>
          <w:szCs w:val="24"/>
        </w:rPr>
        <w:t>指事业单位在专业业务活动及其辅助活动之外开展非独立核算经营活动取得的收入。</w:t>
      </w:r>
    </w:p>
    <w:p>
      <w:pPr>
        <w:spacing w:beforeLines="0" w:afterLines="0" w:line="560" w:lineRule="exact"/>
        <w:ind w:firstLine="643"/>
        <w:jc w:val="both"/>
        <w:rPr>
          <w:rFonts w:hint="default" w:ascii="Times New Roman" w:hAnsi="Times New Roman" w:eastAsia="Times New Roman"/>
          <w:color w:val="auto"/>
          <w:kern w:val="2"/>
          <w:sz w:val="32"/>
          <w:szCs w:val="24"/>
        </w:rPr>
      </w:pPr>
      <w:r>
        <w:rPr>
          <w:rFonts w:hint="eastAsia" w:ascii="仿宋_GB2312" w:hAnsi="仿宋_GB2312" w:eastAsia="仿宋_GB2312"/>
          <w:b/>
          <w:color w:val="auto"/>
          <w:kern w:val="2"/>
          <w:sz w:val="32"/>
          <w:szCs w:val="24"/>
        </w:rPr>
        <w:t>六、附属单位上缴收入：</w:t>
      </w:r>
      <w:r>
        <w:rPr>
          <w:rFonts w:hint="eastAsia" w:ascii="仿宋_GB2312" w:hAnsi="仿宋_GB2312" w:eastAsia="仿宋_GB2312"/>
          <w:color w:val="auto"/>
          <w:kern w:val="2"/>
          <w:sz w:val="32"/>
          <w:szCs w:val="24"/>
        </w:rPr>
        <w:t>指事业单位附属独立核算单位按照有关规定上缴的收入。</w:t>
      </w:r>
    </w:p>
    <w:p>
      <w:pPr>
        <w:spacing w:beforeLines="0" w:afterLines="0" w:line="560" w:lineRule="exact"/>
        <w:ind w:firstLine="643"/>
        <w:jc w:val="both"/>
        <w:rPr>
          <w:rFonts w:hint="default" w:ascii="Times New Roman" w:hAnsi="Times New Roman" w:eastAsia="Times New Roman"/>
          <w:color w:val="auto"/>
          <w:kern w:val="2"/>
          <w:sz w:val="32"/>
          <w:szCs w:val="24"/>
        </w:rPr>
      </w:pPr>
      <w:r>
        <w:rPr>
          <w:rFonts w:hint="eastAsia" w:ascii="仿宋_GB2312" w:hAnsi="仿宋_GB2312" w:eastAsia="仿宋_GB2312"/>
          <w:b/>
          <w:color w:val="auto"/>
          <w:kern w:val="2"/>
          <w:sz w:val="32"/>
          <w:szCs w:val="24"/>
        </w:rPr>
        <w:t>七、其他收入：</w:t>
      </w:r>
      <w:r>
        <w:rPr>
          <w:rFonts w:hint="eastAsia" w:ascii="仿宋_GB2312" w:hAnsi="仿宋_GB2312" w:eastAsia="仿宋_GB2312"/>
          <w:color w:val="auto"/>
          <w:kern w:val="2"/>
          <w:sz w:val="32"/>
          <w:szCs w:val="24"/>
        </w:rPr>
        <w:t>取得的除上述</w:t>
      </w:r>
      <w:r>
        <w:rPr>
          <w:rFonts w:hint="default" w:ascii="仿宋_GB2312" w:hAnsi="仿宋_GB2312" w:eastAsia="仿宋_GB2312"/>
          <w:color w:val="auto"/>
          <w:kern w:val="2"/>
          <w:sz w:val="32"/>
          <w:szCs w:val="24"/>
        </w:rPr>
        <w:t>“</w:t>
      </w:r>
      <w:r>
        <w:rPr>
          <w:rFonts w:hint="eastAsia" w:ascii="仿宋_GB2312" w:hAnsi="仿宋_GB2312" w:eastAsia="仿宋_GB2312"/>
          <w:color w:val="auto"/>
          <w:kern w:val="2"/>
          <w:sz w:val="32"/>
          <w:szCs w:val="24"/>
        </w:rPr>
        <w:t>财政拨款收入</w:t>
      </w:r>
      <w:r>
        <w:rPr>
          <w:rFonts w:hint="default" w:ascii="仿宋_GB2312" w:hAnsi="仿宋_GB2312" w:eastAsia="仿宋_GB2312"/>
          <w:color w:val="auto"/>
          <w:kern w:val="2"/>
          <w:sz w:val="32"/>
          <w:szCs w:val="24"/>
        </w:rPr>
        <w:t>”</w:t>
      </w:r>
      <w:r>
        <w:rPr>
          <w:rFonts w:hint="eastAsia" w:ascii="仿宋_GB2312" w:hAnsi="仿宋_GB2312" w:eastAsia="仿宋_GB2312"/>
          <w:color w:val="auto"/>
          <w:kern w:val="2"/>
          <w:sz w:val="32"/>
          <w:szCs w:val="24"/>
        </w:rPr>
        <w:t>、</w:t>
      </w:r>
      <w:r>
        <w:rPr>
          <w:rFonts w:hint="default" w:ascii="仿宋_GB2312" w:hAnsi="仿宋_GB2312" w:eastAsia="仿宋_GB2312"/>
          <w:color w:val="auto"/>
          <w:kern w:val="2"/>
          <w:sz w:val="32"/>
          <w:szCs w:val="24"/>
        </w:rPr>
        <w:t>“</w:t>
      </w:r>
      <w:r>
        <w:rPr>
          <w:rFonts w:hint="eastAsia" w:ascii="仿宋_GB2312" w:hAnsi="仿宋_GB2312" w:eastAsia="仿宋_GB2312"/>
          <w:color w:val="auto"/>
          <w:kern w:val="2"/>
          <w:sz w:val="32"/>
          <w:szCs w:val="24"/>
        </w:rPr>
        <w:t>上级补助收入</w:t>
      </w:r>
      <w:r>
        <w:rPr>
          <w:rFonts w:hint="default" w:ascii="仿宋_GB2312" w:hAnsi="仿宋_GB2312" w:eastAsia="仿宋_GB2312"/>
          <w:color w:val="auto"/>
          <w:kern w:val="2"/>
          <w:sz w:val="32"/>
          <w:szCs w:val="24"/>
        </w:rPr>
        <w:t>”</w:t>
      </w:r>
      <w:r>
        <w:rPr>
          <w:rFonts w:hint="eastAsia" w:ascii="仿宋_GB2312" w:hAnsi="仿宋_GB2312" w:eastAsia="仿宋_GB2312"/>
          <w:color w:val="auto"/>
          <w:kern w:val="2"/>
          <w:sz w:val="32"/>
          <w:szCs w:val="24"/>
        </w:rPr>
        <w:t>、</w:t>
      </w:r>
      <w:r>
        <w:rPr>
          <w:rFonts w:hint="default" w:ascii="仿宋_GB2312" w:hAnsi="仿宋_GB2312" w:eastAsia="仿宋_GB2312"/>
          <w:color w:val="auto"/>
          <w:kern w:val="2"/>
          <w:sz w:val="32"/>
          <w:szCs w:val="24"/>
        </w:rPr>
        <w:t>“</w:t>
      </w:r>
      <w:r>
        <w:rPr>
          <w:rFonts w:hint="eastAsia" w:ascii="仿宋_GB2312" w:hAnsi="仿宋_GB2312" w:eastAsia="仿宋_GB2312"/>
          <w:color w:val="auto"/>
          <w:kern w:val="2"/>
          <w:sz w:val="32"/>
          <w:szCs w:val="24"/>
        </w:rPr>
        <w:t>事业收入</w:t>
      </w:r>
      <w:r>
        <w:rPr>
          <w:rFonts w:hint="default" w:ascii="仿宋_GB2312" w:hAnsi="仿宋_GB2312" w:eastAsia="仿宋_GB2312"/>
          <w:color w:val="auto"/>
          <w:kern w:val="2"/>
          <w:sz w:val="32"/>
          <w:szCs w:val="24"/>
        </w:rPr>
        <w:t>”</w:t>
      </w:r>
      <w:r>
        <w:rPr>
          <w:rFonts w:hint="eastAsia" w:ascii="仿宋_GB2312" w:hAnsi="仿宋_GB2312" w:eastAsia="仿宋_GB2312"/>
          <w:color w:val="auto"/>
          <w:kern w:val="2"/>
          <w:sz w:val="32"/>
          <w:szCs w:val="24"/>
        </w:rPr>
        <w:t>、</w:t>
      </w:r>
      <w:r>
        <w:rPr>
          <w:rFonts w:hint="default" w:ascii="仿宋_GB2312" w:hAnsi="仿宋_GB2312" w:eastAsia="仿宋_GB2312"/>
          <w:color w:val="auto"/>
          <w:kern w:val="2"/>
          <w:sz w:val="32"/>
          <w:szCs w:val="24"/>
        </w:rPr>
        <w:t>“</w:t>
      </w:r>
      <w:r>
        <w:rPr>
          <w:rFonts w:hint="eastAsia" w:ascii="仿宋_GB2312" w:hAnsi="仿宋_GB2312" w:eastAsia="仿宋_GB2312"/>
          <w:color w:val="auto"/>
          <w:kern w:val="2"/>
          <w:sz w:val="32"/>
          <w:szCs w:val="24"/>
        </w:rPr>
        <w:t>经营收入</w:t>
      </w:r>
      <w:r>
        <w:rPr>
          <w:rFonts w:hint="default" w:ascii="仿宋_GB2312" w:hAnsi="仿宋_GB2312" w:eastAsia="仿宋_GB2312"/>
          <w:color w:val="auto"/>
          <w:kern w:val="2"/>
          <w:sz w:val="32"/>
          <w:szCs w:val="24"/>
        </w:rPr>
        <w:t>”</w:t>
      </w:r>
      <w:r>
        <w:rPr>
          <w:rFonts w:hint="eastAsia" w:ascii="仿宋_GB2312" w:hAnsi="仿宋_GB2312" w:eastAsia="仿宋_GB2312"/>
          <w:color w:val="auto"/>
          <w:kern w:val="2"/>
          <w:sz w:val="32"/>
          <w:szCs w:val="24"/>
        </w:rPr>
        <w:t>、</w:t>
      </w:r>
      <w:r>
        <w:rPr>
          <w:rFonts w:hint="default" w:ascii="仿宋_GB2312" w:hAnsi="仿宋_GB2312" w:eastAsia="仿宋_GB2312"/>
          <w:color w:val="auto"/>
          <w:kern w:val="2"/>
          <w:sz w:val="32"/>
          <w:szCs w:val="24"/>
        </w:rPr>
        <w:t>“</w:t>
      </w:r>
      <w:r>
        <w:rPr>
          <w:rFonts w:hint="eastAsia" w:ascii="仿宋_GB2312" w:hAnsi="仿宋_GB2312" w:eastAsia="仿宋_GB2312"/>
          <w:color w:val="auto"/>
          <w:kern w:val="2"/>
          <w:sz w:val="32"/>
          <w:szCs w:val="24"/>
        </w:rPr>
        <w:t>附属单位上缴收入</w:t>
      </w:r>
      <w:r>
        <w:rPr>
          <w:rFonts w:hint="default" w:ascii="仿宋_GB2312" w:hAnsi="仿宋_GB2312" w:eastAsia="仿宋_GB2312"/>
          <w:color w:val="auto"/>
          <w:kern w:val="2"/>
          <w:sz w:val="32"/>
          <w:szCs w:val="24"/>
        </w:rPr>
        <w:t>”</w:t>
      </w:r>
      <w:r>
        <w:rPr>
          <w:rFonts w:hint="eastAsia" w:ascii="仿宋_GB2312" w:hAnsi="仿宋_GB2312" w:eastAsia="仿宋_GB2312"/>
          <w:color w:val="auto"/>
          <w:kern w:val="2"/>
          <w:sz w:val="32"/>
          <w:szCs w:val="24"/>
        </w:rPr>
        <w:t>等以外的各项收入。</w:t>
      </w:r>
    </w:p>
    <w:p>
      <w:pPr>
        <w:spacing w:beforeLines="0" w:afterLines="0" w:line="560" w:lineRule="exact"/>
        <w:ind w:firstLine="643"/>
        <w:jc w:val="both"/>
        <w:rPr>
          <w:rFonts w:hint="default" w:ascii="Times New Roman" w:hAnsi="Times New Roman" w:eastAsia="Times New Roman"/>
          <w:color w:val="auto"/>
          <w:kern w:val="2"/>
          <w:sz w:val="32"/>
          <w:szCs w:val="24"/>
        </w:rPr>
      </w:pPr>
      <w:r>
        <w:rPr>
          <w:rFonts w:hint="eastAsia" w:ascii="仿宋_GB2312" w:hAnsi="仿宋_GB2312" w:eastAsia="仿宋_GB2312"/>
          <w:b/>
          <w:color w:val="auto"/>
          <w:kern w:val="2"/>
          <w:sz w:val="32"/>
          <w:szCs w:val="24"/>
        </w:rPr>
        <w:t>八、使用非财政拨款结余：</w:t>
      </w:r>
      <w:r>
        <w:rPr>
          <w:rFonts w:hint="eastAsia" w:ascii="仿宋_GB2312" w:hAnsi="仿宋_GB2312" w:eastAsia="仿宋_GB2312"/>
          <w:color w:val="auto"/>
          <w:kern w:val="2"/>
          <w:sz w:val="32"/>
          <w:szCs w:val="24"/>
        </w:rPr>
        <w:t>指事业单位按照预算管理要求使用非财政拨款结余弥补当年收支差额的数额。</w:t>
      </w:r>
    </w:p>
    <w:p>
      <w:pPr>
        <w:spacing w:beforeLines="0" w:afterLines="0" w:line="560" w:lineRule="exact"/>
        <w:ind w:firstLine="643"/>
        <w:jc w:val="both"/>
        <w:rPr>
          <w:rFonts w:hint="default" w:ascii="Times New Roman" w:hAnsi="Times New Roman" w:eastAsia="Times New Roman"/>
          <w:color w:val="auto"/>
          <w:kern w:val="2"/>
          <w:sz w:val="32"/>
          <w:szCs w:val="24"/>
        </w:rPr>
      </w:pPr>
      <w:r>
        <w:rPr>
          <w:rFonts w:hint="eastAsia" w:ascii="仿宋_GB2312" w:hAnsi="仿宋_GB2312" w:eastAsia="仿宋_GB2312"/>
          <w:b/>
          <w:color w:val="auto"/>
          <w:kern w:val="2"/>
          <w:sz w:val="32"/>
          <w:szCs w:val="24"/>
        </w:rPr>
        <w:t>九、年初结转和结余：</w:t>
      </w:r>
      <w:r>
        <w:rPr>
          <w:rFonts w:hint="eastAsia" w:ascii="仿宋_GB2312" w:hAnsi="仿宋_GB2312" w:eastAsia="仿宋_GB2312"/>
          <w:color w:val="auto"/>
          <w:kern w:val="2"/>
          <w:sz w:val="32"/>
          <w:szCs w:val="24"/>
        </w:rPr>
        <w:t>指单位上年结转本年使用的基本支出结转、项目支出结转和结余、经营结余。</w:t>
      </w:r>
    </w:p>
    <w:p>
      <w:pPr>
        <w:spacing w:beforeLines="0" w:afterLines="0" w:line="560" w:lineRule="exact"/>
        <w:ind w:firstLine="643"/>
        <w:jc w:val="both"/>
        <w:rPr>
          <w:rFonts w:hint="default" w:ascii="Times New Roman" w:hAnsi="Times New Roman" w:eastAsia="Times New Roman"/>
          <w:color w:val="auto"/>
          <w:kern w:val="2"/>
          <w:sz w:val="32"/>
          <w:szCs w:val="24"/>
        </w:rPr>
      </w:pPr>
      <w:r>
        <w:rPr>
          <w:rFonts w:hint="eastAsia" w:ascii="仿宋_GB2312" w:hAnsi="仿宋_GB2312" w:eastAsia="仿宋_GB2312"/>
          <w:b/>
          <w:color w:val="auto"/>
          <w:kern w:val="2"/>
          <w:sz w:val="32"/>
          <w:szCs w:val="24"/>
        </w:rPr>
        <w:t>十、结余分配：</w:t>
      </w:r>
      <w:r>
        <w:rPr>
          <w:rFonts w:hint="eastAsia" w:ascii="仿宋_GB2312" w:hAnsi="仿宋_GB2312" w:eastAsia="仿宋_GB2312"/>
          <w:color w:val="auto"/>
          <w:kern w:val="2"/>
          <w:sz w:val="32"/>
          <w:szCs w:val="24"/>
        </w:rPr>
        <w:t>指事业单位按规定缴纳的所得税以及从非财政拨款结余中提取各类结余的情况。</w:t>
      </w:r>
    </w:p>
    <w:p>
      <w:pPr>
        <w:spacing w:beforeLines="0" w:afterLines="0" w:line="560" w:lineRule="exact"/>
        <w:ind w:firstLine="643"/>
        <w:jc w:val="both"/>
        <w:rPr>
          <w:rFonts w:hint="default" w:ascii="Times New Roman" w:hAnsi="Times New Roman" w:eastAsia="Times New Roman"/>
          <w:color w:val="auto"/>
          <w:kern w:val="2"/>
          <w:sz w:val="32"/>
          <w:szCs w:val="24"/>
        </w:rPr>
      </w:pPr>
      <w:r>
        <w:rPr>
          <w:rFonts w:hint="eastAsia" w:ascii="仿宋_GB2312" w:hAnsi="仿宋_GB2312" w:eastAsia="仿宋_GB2312"/>
          <w:b/>
          <w:color w:val="auto"/>
          <w:kern w:val="2"/>
          <w:sz w:val="32"/>
          <w:szCs w:val="24"/>
        </w:rPr>
        <w:t>十一、年末结转和结余资金：</w:t>
      </w:r>
      <w:r>
        <w:rPr>
          <w:rFonts w:hint="eastAsia" w:ascii="仿宋_GB2312" w:hAnsi="仿宋_GB2312" w:eastAsia="仿宋_GB2312"/>
          <w:color w:val="auto"/>
          <w:kern w:val="2"/>
          <w:sz w:val="32"/>
          <w:szCs w:val="24"/>
        </w:rPr>
        <w:t>指单位结转下年的基本支出结转、项目支出结转和结余、经营结余。</w:t>
      </w:r>
    </w:p>
    <w:p>
      <w:pPr>
        <w:spacing w:beforeLines="0" w:afterLines="0" w:line="560" w:lineRule="exact"/>
        <w:ind w:firstLine="643"/>
        <w:jc w:val="both"/>
        <w:rPr>
          <w:rFonts w:hint="default" w:ascii="Times New Roman" w:hAnsi="Times New Roman" w:eastAsia="Times New Roman"/>
          <w:color w:val="auto"/>
          <w:kern w:val="2"/>
          <w:sz w:val="32"/>
          <w:szCs w:val="24"/>
        </w:rPr>
      </w:pPr>
      <w:r>
        <w:rPr>
          <w:rFonts w:hint="eastAsia" w:ascii="仿宋_GB2312" w:hAnsi="仿宋_GB2312" w:eastAsia="仿宋_GB2312"/>
          <w:b/>
          <w:color w:val="auto"/>
          <w:kern w:val="2"/>
          <w:sz w:val="32"/>
          <w:szCs w:val="24"/>
        </w:rPr>
        <w:t>十二、基本支出：</w:t>
      </w:r>
      <w:r>
        <w:rPr>
          <w:rFonts w:hint="eastAsia" w:ascii="仿宋_GB2312" w:hAnsi="仿宋_GB2312" w:eastAsia="仿宋_GB2312"/>
          <w:color w:val="auto"/>
          <w:kern w:val="2"/>
          <w:sz w:val="32"/>
          <w:szCs w:val="24"/>
        </w:rPr>
        <w:t>指为保障机构正常运转、完成日常工作任务所发生的支出，包括人员经费和公用经费。</w:t>
      </w:r>
    </w:p>
    <w:p>
      <w:pPr>
        <w:spacing w:beforeLines="0" w:afterLines="0" w:line="560" w:lineRule="exact"/>
        <w:ind w:firstLine="643"/>
        <w:jc w:val="both"/>
        <w:rPr>
          <w:rFonts w:hint="default" w:ascii="Times New Roman" w:hAnsi="Times New Roman" w:eastAsia="Times New Roman"/>
          <w:color w:val="auto"/>
          <w:kern w:val="2"/>
          <w:sz w:val="32"/>
          <w:szCs w:val="24"/>
        </w:rPr>
      </w:pPr>
      <w:r>
        <w:rPr>
          <w:rFonts w:hint="eastAsia" w:ascii="仿宋_GB2312" w:hAnsi="仿宋_GB2312" w:eastAsia="仿宋_GB2312"/>
          <w:b/>
          <w:color w:val="auto"/>
          <w:kern w:val="2"/>
          <w:sz w:val="32"/>
          <w:szCs w:val="24"/>
        </w:rPr>
        <w:t>十三、项目支出：</w:t>
      </w:r>
      <w:r>
        <w:rPr>
          <w:rFonts w:hint="eastAsia" w:ascii="仿宋_GB2312" w:hAnsi="仿宋_GB2312" w:eastAsia="仿宋_GB2312"/>
          <w:color w:val="auto"/>
          <w:kern w:val="2"/>
          <w:sz w:val="32"/>
          <w:szCs w:val="24"/>
        </w:rPr>
        <w:t>指在为完成特定的工作任务和事业发展目标所发生的支出。</w:t>
      </w:r>
    </w:p>
    <w:p>
      <w:pPr>
        <w:spacing w:beforeLines="0" w:afterLines="0" w:line="560" w:lineRule="exact"/>
        <w:ind w:firstLine="643"/>
        <w:jc w:val="both"/>
        <w:rPr>
          <w:rFonts w:hint="default" w:ascii="Times New Roman" w:hAnsi="Times New Roman" w:eastAsia="Times New Roman"/>
          <w:color w:val="auto"/>
          <w:kern w:val="2"/>
          <w:sz w:val="32"/>
          <w:szCs w:val="24"/>
        </w:rPr>
      </w:pPr>
      <w:r>
        <w:rPr>
          <w:rFonts w:hint="eastAsia" w:ascii="仿宋_GB2312" w:hAnsi="仿宋_GB2312" w:eastAsia="仿宋_GB2312"/>
          <w:b/>
          <w:color w:val="auto"/>
          <w:kern w:val="2"/>
          <w:sz w:val="32"/>
          <w:szCs w:val="24"/>
        </w:rPr>
        <w:t>十四、上缴上级支出：</w:t>
      </w:r>
      <w:r>
        <w:rPr>
          <w:rFonts w:hint="eastAsia" w:ascii="仿宋_GB2312" w:hAnsi="仿宋_GB2312" w:eastAsia="仿宋_GB2312"/>
          <w:color w:val="auto"/>
          <w:kern w:val="2"/>
          <w:sz w:val="32"/>
          <w:szCs w:val="24"/>
        </w:rPr>
        <w:t>指事业单位按照财政部门和主管部门的规定上缴上级单位的支出。</w:t>
      </w:r>
    </w:p>
    <w:p>
      <w:pPr>
        <w:spacing w:beforeLines="0" w:afterLines="0" w:line="560" w:lineRule="exact"/>
        <w:ind w:firstLine="643"/>
        <w:jc w:val="both"/>
        <w:rPr>
          <w:rFonts w:hint="default" w:ascii="Times New Roman" w:hAnsi="Times New Roman" w:eastAsia="Times New Roman"/>
          <w:color w:val="auto"/>
          <w:kern w:val="2"/>
          <w:sz w:val="32"/>
          <w:szCs w:val="24"/>
        </w:rPr>
      </w:pPr>
      <w:r>
        <w:rPr>
          <w:rFonts w:hint="eastAsia" w:ascii="仿宋_GB2312" w:hAnsi="仿宋_GB2312" w:eastAsia="仿宋_GB2312"/>
          <w:b/>
          <w:color w:val="auto"/>
          <w:kern w:val="2"/>
          <w:sz w:val="32"/>
          <w:szCs w:val="24"/>
        </w:rPr>
        <w:t>十五、经营支出：</w:t>
      </w:r>
      <w:r>
        <w:rPr>
          <w:rFonts w:hint="eastAsia" w:ascii="仿宋_GB2312" w:hAnsi="仿宋_GB2312" w:eastAsia="仿宋_GB2312"/>
          <w:color w:val="auto"/>
          <w:kern w:val="2"/>
          <w:sz w:val="32"/>
          <w:szCs w:val="24"/>
        </w:rPr>
        <w:t>指事业单位在专业业务活动及其辅助活动之外开展非独立核算经营活动发生的支出。</w:t>
      </w:r>
    </w:p>
    <w:p>
      <w:pPr>
        <w:spacing w:beforeLines="0" w:afterLines="0" w:line="560" w:lineRule="exact"/>
        <w:ind w:firstLine="643"/>
        <w:jc w:val="both"/>
        <w:rPr>
          <w:rFonts w:hint="default" w:ascii="Times New Roman" w:hAnsi="Times New Roman" w:eastAsia="Times New Roman"/>
          <w:color w:val="auto"/>
          <w:kern w:val="2"/>
          <w:sz w:val="32"/>
          <w:szCs w:val="24"/>
        </w:rPr>
      </w:pPr>
      <w:r>
        <w:rPr>
          <w:rFonts w:hint="eastAsia" w:ascii="仿宋_GB2312" w:hAnsi="仿宋_GB2312" w:eastAsia="仿宋_GB2312"/>
          <w:b/>
          <w:color w:val="auto"/>
          <w:kern w:val="2"/>
          <w:sz w:val="32"/>
          <w:szCs w:val="24"/>
        </w:rPr>
        <w:t>十六、对附属单位补助支出：</w:t>
      </w:r>
      <w:r>
        <w:rPr>
          <w:rFonts w:hint="eastAsia" w:ascii="仿宋_GB2312" w:hAnsi="仿宋_GB2312" w:eastAsia="仿宋_GB2312"/>
          <w:color w:val="auto"/>
          <w:kern w:val="2"/>
          <w:sz w:val="32"/>
          <w:szCs w:val="24"/>
        </w:rPr>
        <w:t>指事业单位用财政拨款收入之外的收入对附属单位补助发生的支出。</w:t>
      </w:r>
    </w:p>
    <w:p>
      <w:pPr>
        <w:spacing w:beforeLines="0" w:afterLines="0" w:line="560" w:lineRule="exact"/>
        <w:ind w:firstLine="643"/>
        <w:jc w:val="both"/>
        <w:rPr>
          <w:rFonts w:hint="default" w:ascii="Times New Roman" w:hAnsi="Times New Roman" w:eastAsia="Times New Roman"/>
          <w:color w:val="auto"/>
          <w:kern w:val="2"/>
          <w:sz w:val="32"/>
          <w:szCs w:val="24"/>
        </w:rPr>
      </w:pPr>
      <w:r>
        <w:rPr>
          <w:rFonts w:hint="eastAsia" w:ascii="仿宋_GB2312" w:hAnsi="仿宋_GB2312" w:eastAsia="仿宋_GB2312"/>
          <w:b/>
          <w:color w:val="auto"/>
          <w:kern w:val="2"/>
          <w:sz w:val="32"/>
          <w:szCs w:val="24"/>
        </w:rPr>
        <w:t>十七、</w:t>
      </w:r>
      <w:r>
        <w:rPr>
          <w:rFonts w:hint="default" w:ascii="仿宋_GB2312" w:hAnsi="仿宋_GB2312" w:eastAsia="仿宋_GB2312"/>
          <w:b/>
          <w:color w:val="auto"/>
          <w:kern w:val="2"/>
          <w:sz w:val="32"/>
          <w:szCs w:val="24"/>
        </w:rPr>
        <w:t>“</w:t>
      </w:r>
      <w:r>
        <w:rPr>
          <w:rFonts w:hint="eastAsia" w:ascii="仿宋_GB2312" w:hAnsi="仿宋_GB2312" w:eastAsia="仿宋_GB2312"/>
          <w:b/>
          <w:color w:val="auto"/>
          <w:kern w:val="2"/>
          <w:sz w:val="32"/>
          <w:szCs w:val="24"/>
        </w:rPr>
        <w:t>三公</w:t>
      </w:r>
      <w:r>
        <w:rPr>
          <w:rFonts w:hint="default" w:ascii="仿宋_GB2312" w:hAnsi="仿宋_GB2312" w:eastAsia="仿宋_GB2312"/>
          <w:b/>
          <w:color w:val="auto"/>
          <w:kern w:val="2"/>
          <w:sz w:val="32"/>
          <w:szCs w:val="24"/>
        </w:rPr>
        <w:t>”</w:t>
      </w:r>
      <w:r>
        <w:rPr>
          <w:rFonts w:hint="eastAsia" w:ascii="仿宋_GB2312" w:hAnsi="仿宋_GB2312" w:eastAsia="仿宋_GB2312"/>
          <w:b/>
          <w:color w:val="auto"/>
          <w:kern w:val="2"/>
          <w:sz w:val="32"/>
          <w:szCs w:val="24"/>
        </w:rPr>
        <w:t>经费：</w:t>
      </w:r>
      <w:r>
        <w:rPr>
          <w:rFonts w:hint="eastAsia" w:ascii="仿宋_GB2312" w:hAnsi="仿宋_GB2312" w:eastAsia="仿宋_GB2312"/>
          <w:color w:val="auto"/>
          <w:kern w:val="2"/>
          <w:sz w:val="32"/>
          <w:szCs w:val="24"/>
        </w:rPr>
        <w:t>指部门用财政拨款安排的因公出国（境）费、公务用车购置及运行维护费和公务接待费。其中，因公出国（境）费反映部门)公务出国（境）的国际旅费、国外城市间交通费、住宿费、伙食费、培训费、公杂费等支出；公务用车购置及运行维护费反映部门公务用车购置支出（含车辆购置税、牌照费）以及按规定保留的公务用车燃料费、维修费、过路过桥费、保险费、安全奖励费用等支出；公务接待费反映部门按规定开支的各类公务接待（含外宾接待）费用。</w:t>
      </w:r>
    </w:p>
    <w:p>
      <w:pPr>
        <w:spacing w:beforeLines="0" w:afterLines="0" w:line="560" w:lineRule="exact"/>
        <w:ind w:firstLine="643"/>
        <w:jc w:val="both"/>
        <w:rPr>
          <w:rFonts w:hint="default" w:ascii="Times New Roman" w:hAnsi="Times New Roman" w:eastAsia="Times New Roman"/>
          <w:color w:val="auto"/>
          <w:kern w:val="2"/>
          <w:sz w:val="32"/>
          <w:szCs w:val="24"/>
        </w:rPr>
      </w:pPr>
      <w:r>
        <w:rPr>
          <w:rFonts w:hint="eastAsia" w:ascii="仿宋_GB2312" w:hAnsi="仿宋_GB2312" w:eastAsia="仿宋_GB2312"/>
          <w:b/>
          <w:color w:val="auto"/>
          <w:kern w:val="2"/>
          <w:sz w:val="32"/>
          <w:szCs w:val="24"/>
        </w:rPr>
        <w:t>十八、机构运行经费：</w:t>
      </w:r>
      <w:r>
        <w:rPr>
          <w:rFonts w:hint="eastAsia" w:ascii="仿宋_GB2312" w:hAnsi="仿宋_GB2312" w:eastAsia="仿宋_GB2312"/>
          <w:color w:val="auto"/>
          <w:kern w:val="2"/>
          <w:sz w:val="32"/>
          <w:szCs w:val="24"/>
        </w:rPr>
        <w:t>指部门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spacing w:beforeLines="0" w:after="120" w:afterLines="0"/>
        <w:ind w:left="420" w:firstLine="420"/>
        <w:jc w:val="both"/>
        <w:rPr>
          <w:rFonts w:hint="default" w:ascii="Times New Roman" w:hAnsi="Times New Roman" w:eastAsia="Times New Roman"/>
          <w:color w:val="auto"/>
          <w:kern w:val="2"/>
          <w:sz w:val="21"/>
          <w:szCs w:val="24"/>
        </w:rPr>
      </w:pPr>
    </w:p>
    <w:p>
      <w:pPr>
        <w:pStyle w:val="5"/>
        <w:keepNext/>
        <w:keepLines/>
        <w:tabs>
          <w:tab w:val="left" w:pos="4392"/>
        </w:tabs>
        <w:spacing w:beforeLines="0" w:afterLines="0" w:line="360" w:lineRule="auto"/>
        <w:jc w:val="center"/>
        <w:rPr>
          <w:rFonts w:hint="default" w:ascii="仿宋_GB2312" w:hAnsi="仿宋_GB2312" w:eastAsia="仿宋_GB2312" w:cstheme="minorBidi"/>
          <w:b/>
          <w:bCs/>
          <w:color w:val="auto"/>
          <w:kern w:val="2"/>
          <w:sz w:val="36"/>
          <w:szCs w:val="36"/>
        </w:rPr>
      </w:pPr>
      <w:r>
        <w:rPr>
          <w:rFonts w:hint="eastAsia" w:ascii="仿宋_GB2312" w:hAnsi="仿宋_GB2312" w:eastAsia="仿宋_GB2312" w:cstheme="minorBidi"/>
          <w:b/>
          <w:bCs/>
          <w:color w:val="auto"/>
          <w:kern w:val="2"/>
          <w:sz w:val="36"/>
          <w:szCs w:val="36"/>
        </w:rPr>
        <w:t>第四部分 决算公开联系方式及信息反馈渠道</w:t>
      </w:r>
    </w:p>
    <w:p>
      <w:pPr>
        <w:spacing w:beforeLines="0" w:afterLines="0" w:line="600" w:lineRule="exact"/>
        <w:jc w:val="both"/>
        <w:rPr>
          <w:rFonts w:hint="default" w:ascii="仿宋_GB2312" w:hAnsi="仿宋_GB2312" w:eastAsia="仿宋_GB2312" w:cstheme="minorBidi"/>
          <w:b/>
          <w:bCs/>
          <w:color w:val="auto"/>
          <w:kern w:val="2"/>
          <w:sz w:val="36"/>
          <w:szCs w:val="36"/>
        </w:rPr>
      </w:pPr>
    </w:p>
    <w:p>
      <w:pPr>
        <w:spacing w:beforeLines="0" w:afterLines="0" w:line="600" w:lineRule="exact"/>
        <w:ind w:firstLine="640"/>
        <w:jc w:val="both"/>
        <w:rPr>
          <w:rFonts w:hint="default" w:ascii="仿宋_GB2312" w:hAnsi="仿宋_GB2312" w:eastAsia="仿宋_GB2312" w:cstheme="minorBidi"/>
          <w:color w:val="auto"/>
          <w:kern w:val="2"/>
          <w:sz w:val="32"/>
          <w:szCs w:val="24"/>
        </w:rPr>
      </w:pPr>
      <w:r>
        <w:rPr>
          <w:rFonts w:hint="eastAsia" w:ascii="仿宋_GB2312" w:hAnsi="仿宋_GB2312" w:eastAsia="仿宋_GB2312" w:cstheme="minorBidi"/>
          <w:color w:val="auto"/>
          <w:kern w:val="2"/>
          <w:sz w:val="32"/>
          <w:szCs w:val="24"/>
        </w:rPr>
        <w:t>本单位决算公开信息反馈和联系方式：</w:t>
      </w:r>
    </w:p>
    <w:p>
      <w:pPr>
        <w:spacing w:beforeLines="0" w:afterLines="0"/>
        <w:rPr>
          <w:rFonts w:hint="eastAsia" w:ascii="仿宋_GB2312" w:hAnsi="仿宋_GB2312" w:eastAsia="仿宋_GB2312" w:cstheme="minorBidi"/>
          <w:color w:val="auto"/>
          <w:kern w:val="2"/>
          <w:sz w:val="32"/>
          <w:szCs w:val="24"/>
        </w:rPr>
      </w:pPr>
      <w:r>
        <w:rPr>
          <w:rFonts w:hint="eastAsia" w:ascii="仿宋_GB2312" w:hAnsi="仿宋_GB2312" w:eastAsia="仿宋_GB2312" w:cstheme="minorBidi"/>
          <w:color w:val="auto"/>
          <w:kern w:val="2"/>
          <w:sz w:val="32"/>
          <w:szCs w:val="24"/>
        </w:rPr>
        <w:t>联系人：李莲花           联系电话：0478-7807520</w:t>
      </w:r>
    </w:p>
    <w:p>
      <w:pPr>
        <w:spacing w:beforeLines="0" w:afterLines="0"/>
        <w:rPr>
          <w:rFonts w:hint="eastAsia" w:ascii="仿宋_GB2312" w:hAnsi="仿宋_GB2312" w:eastAsia="仿宋_GB2312" w:cstheme="minorBidi"/>
          <w:color w:val="auto"/>
          <w:kern w:val="2"/>
          <w:sz w:val="32"/>
          <w:szCs w:val="24"/>
        </w:rPr>
      </w:pPr>
    </w:p>
    <w:p>
      <w:pPr>
        <w:spacing w:beforeLines="0" w:afterLines="0"/>
        <w:jc w:val="center"/>
        <w:rPr>
          <w:rFonts w:hint="eastAsia" w:ascii="仿宋_GB2312" w:hAnsi="仿宋_GB2312" w:eastAsia="仿宋_GB2312" w:cstheme="minorBidi"/>
          <w:color w:val="auto"/>
          <w:kern w:val="2"/>
          <w:sz w:val="36"/>
          <w:szCs w:val="36"/>
        </w:rPr>
      </w:pPr>
      <w:r>
        <w:rPr>
          <w:rFonts w:hint="eastAsia" w:ascii="仿宋_GB2312" w:hAnsi="仿宋_GB2312" w:eastAsia="仿宋_GB2312" w:cstheme="minorBidi"/>
          <w:b/>
          <w:bCs/>
          <w:color w:val="auto"/>
          <w:kern w:val="2"/>
          <w:sz w:val="36"/>
          <w:szCs w:val="36"/>
        </w:rPr>
        <w:t>第五部分 2022年度部门决算表</w:t>
      </w:r>
    </w:p>
    <w:p>
      <w:pPr>
        <w:spacing w:beforeLines="0" w:afterLines="0"/>
        <w:rPr>
          <w:rFonts w:hint="eastAsia" w:ascii="仿宋_GB2312" w:hAnsi="仿宋_GB2312" w:eastAsia="仿宋_GB2312" w:cstheme="minorBidi"/>
          <w:color w:val="auto"/>
          <w:kern w:val="2"/>
          <w:sz w:val="32"/>
          <w:szCs w:val="24"/>
        </w:rPr>
      </w:pPr>
      <w:r>
        <w:rPr>
          <w:rFonts w:hint="eastAsia" w:ascii="仿宋_GB2312" w:hAnsi="仿宋_GB2312" w:eastAsia="仿宋_GB2312" w:cstheme="minorBidi"/>
          <w:color w:val="auto"/>
          <w:kern w:val="2"/>
          <w:sz w:val="32"/>
          <w:szCs w:val="24"/>
        </w:rPr>
        <w:tab/>
      </w:r>
      <w:r>
        <w:rPr>
          <w:rFonts w:hint="eastAsia" w:ascii="仿宋_GB2312" w:hAnsi="仿宋_GB2312" w:eastAsia="仿宋_GB2312" w:cstheme="minorBidi"/>
          <w:color w:val="auto"/>
          <w:kern w:val="2"/>
          <w:sz w:val="32"/>
          <w:szCs w:val="24"/>
        </w:rPr>
        <w:t>见附件。</w:t>
      </w:r>
    </w:p>
    <w:p>
      <w:pPr>
        <w:spacing w:beforeLines="0" w:afterLines="0"/>
        <w:jc w:val="center"/>
        <w:rPr>
          <w:rFonts w:hint="eastAsia" w:ascii="仿宋_GB2312" w:hAnsi="仿宋_GB2312" w:eastAsia="仿宋_GB2312"/>
          <w:color w:val="auto"/>
          <w:kern w:val="2"/>
          <w:sz w:val="32"/>
          <w:szCs w:val="24"/>
        </w:rPr>
      </w:pPr>
    </w:p>
    <w:p/>
    <w:sectPr>
      <w:footerReference r:id="rId4" w:type="default"/>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altName w:val="方正舒体"/>
    <w:panose1 w:val="00000000000000000000"/>
    <w:charset w:val="86"/>
    <w:family w:val="auto"/>
    <w:pitch w:val="default"/>
    <w:sig w:usb0="00000000" w:usb1="00000000" w:usb2="00000000" w:usb3="00000000" w:csb0="00040000" w:csb1="00000000"/>
  </w:font>
  <w:font w:name="方正楷体简体">
    <w:altName w:val="宋体"/>
    <w:panose1 w:val="00000000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C49200"/>
    <w:multiLevelType w:val="singleLevel"/>
    <w:tmpl w:val="AFC49200"/>
    <w:lvl w:ilvl="0" w:tentative="0">
      <w:start w:val="3"/>
      <w:numFmt w:val="decimal"/>
      <w:suff w:val="nothing"/>
      <w:lvlText w:val="%1、"/>
      <w:lvlJc w:val="left"/>
      <w:pPr>
        <w:ind w:left="240"/>
      </w:pPr>
    </w:lvl>
  </w:abstractNum>
  <w:abstractNum w:abstractNumId="1">
    <w:nsid w:val="C5E734B5"/>
    <w:multiLevelType w:val="singleLevel"/>
    <w:tmpl w:val="C5E734B5"/>
    <w:lvl w:ilvl="0" w:tentative="0">
      <w:start w:val="1"/>
      <w:numFmt w:val="decimal"/>
      <w:suff w:val="space"/>
      <w:lvlText w:val="%1."/>
      <w:lvlJc w:val="left"/>
      <w:pPr>
        <w:ind w:left="120"/>
      </w:pPr>
    </w:lvl>
  </w:abstractNum>
  <w:abstractNum w:abstractNumId="2">
    <w:nsid w:val="D70A7915"/>
    <w:multiLevelType w:val="singleLevel"/>
    <w:tmpl w:val="D70A7915"/>
    <w:lvl w:ilvl="0" w:tentative="0">
      <w:start w:val="1"/>
      <w:numFmt w:val="decimal"/>
      <w:suff w:val="nothing"/>
      <w:lvlText w:val="%1．"/>
      <w:lvlJc w:val="left"/>
      <w:pPr>
        <w:ind w:left="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4ZDMzOWY0MTkyNzE0MWNmM2MwNjQ1YjhmYzM3MDMifQ=="/>
  </w:docVars>
  <w:rsids>
    <w:rsidRoot w:val="00172A27"/>
    <w:rsid w:val="01D408F4"/>
    <w:rsid w:val="030B6598"/>
    <w:rsid w:val="03273A63"/>
    <w:rsid w:val="0774295E"/>
    <w:rsid w:val="083844FE"/>
    <w:rsid w:val="08847D7A"/>
    <w:rsid w:val="0A60366D"/>
    <w:rsid w:val="0A717312"/>
    <w:rsid w:val="0E9D7A7C"/>
    <w:rsid w:val="0F3C0BA0"/>
    <w:rsid w:val="12753A2E"/>
    <w:rsid w:val="127D694E"/>
    <w:rsid w:val="13541895"/>
    <w:rsid w:val="16D537DE"/>
    <w:rsid w:val="17377504"/>
    <w:rsid w:val="19A3205B"/>
    <w:rsid w:val="1A3348FA"/>
    <w:rsid w:val="1AF2632B"/>
    <w:rsid w:val="1BB46249"/>
    <w:rsid w:val="1F9000F9"/>
    <w:rsid w:val="204052C3"/>
    <w:rsid w:val="23814DFC"/>
    <w:rsid w:val="25186BC6"/>
    <w:rsid w:val="25733DFD"/>
    <w:rsid w:val="262A6F54"/>
    <w:rsid w:val="26B56BD8"/>
    <w:rsid w:val="274C7A58"/>
    <w:rsid w:val="27F33CC0"/>
    <w:rsid w:val="28302479"/>
    <w:rsid w:val="286D7229"/>
    <w:rsid w:val="29307164"/>
    <w:rsid w:val="295B0C6A"/>
    <w:rsid w:val="2A3F419A"/>
    <w:rsid w:val="2ABB15CA"/>
    <w:rsid w:val="2E2F3022"/>
    <w:rsid w:val="2EF459AB"/>
    <w:rsid w:val="31551FFC"/>
    <w:rsid w:val="32C45F4E"/>
    <w:rsid w:val="3A6C6971"/>
    <w:rsid w:val="3C5B340C"/>
    <w:rsid w:val="3CE26EDE"/>
    <w:rsid w:val="3DE464CE"/>
    <w:rsid w:val="406C796F"/>
    <w:rsid w:val="40B6128F"/>
    <w:rsid w:val="412B15D8"/>
    <w:rsid w:val="43B807E2"/>
    <w:rsid w:val="43CF3C63"/>
    <w:rsid w:val="44937BC0"/>
    <w:rsid w:val="45577CA3"/>
    <w:rsid w:val="47744E79"/>
    <w:rsid w:val="480B7815"/>
    <w:rsid w:val="48EC776C"/>
    <w:rsid w:val="49303C2F"/>
    <w:rsid w:val="4BAD6143"/>
    <w:rsid w:val="4D3B2BA3"/>
    <w:rsid w:val="4E614E19"/>
    <w:rsid w:val="50546455"/>
    <w:rsid w:val="50EA7520"/>
    <w:rsid w:val="524B4DC8"/>
    <w:rsid w:val="52943481"/>
    <w:rsid w:val="551563C4"/>
    <w:rsid w:val="5889243A"/>
    <w:rsid w:val="5ADA3300"/>
    <w:rsid w:val="5C4A6819"/>
    <w:rsid w:val="5CEE38E6"/>
    <w:rsid w:val="5E13277E"/>
    <w:rsid w:val="61C079E6"/>
    <w:rsid w:val="64BD5C7F"/>
    <w:rsid w:val="675A65EF"/>
    <w:rsid w:val="680D4131"/>
    <w:rsid w:val="68D47AEE"/>
    <w:rsid w:val="69CF465E"/>
    <w:rsid w:val="6A3D5D54"/>
    <w:rsid w:val="6AD22940"/>
    <w:rsid w:val="6D7221B9"/>
    <w:rsid w:val="6E623FDB"/>
    <w:rsid w:val="71AC3EEB"/>
    <w:rsid w:val="71BD72BB"/>
    <w:rsid w:val="755A3296"/>
    <w:rsid w:val="75F51B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semiHidden="0" w:name="Normal"/>
    <w:lsdException w:uiPriority="99" w:semiHidden="0" w:name="heading 1"/>
    <w:lsdException w:qFormat="1"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uiPriority w:val="99"/>
    <w:pPr>
      <w:widowControl w:val="0"/>
      <w:autoSpaceDE w:val="0"/>
      <w:autoSpaceDN w:val="0"/>
      <w:adjustRightInd w:val="0"/>
      <w:spacing w:beforeLines="0" w:afterLines="0"/>
    </w:pPr>
    <w:rPr>
      <w:rFonts w:hint="default" w:asciiTheme="minorHAnsi" w:hAnsiTheme="minorHAnsi" w:eastAsiaTheme="minorEastAsia" w:cstheme="minorBidi"/>
      <w:sz w:val="24"/>
      <w:szCs w:val="24"/>
    </w:rPr>
  </w:style>
  <w:style w:type="paragraph" w:styleId="4">
    <w:name w:val="heading 1"/>
    <w:next w:val="1"/>
    <w:unhideWhenUsed/>
    <w:uiPriority w:val="99"/>
    <w:pPr>
      <w:widowControl w:val="0"/>
      <w:autoSpaceDE w:val="0"/>
      <w:autoSpaceDN w:val="0"/>
      <w:adjustRightInd w:val="0"/>
      <w:spacing w:beforeLines="0" w:afterLines="0"/>
    </w:pPr>
    <w:rPr>
      <w:rFonts w:hint="default" w:asciiTheme="minorHAnsi" w:hAnsiTheme="minorHAnsi" w:eastAsiaTheme="minorEastAsia" w:cstheme="minorBidi"/>
      <w:sz w:val="24"/>
      <w:szCs w:val="24"/>
    </w:rPr>
  </w:style>
  <w:style w:type="paragraph" w:styleId="5">
    <w:name w:val="heading 2"/>
    <w:next w:val="1"/>
    <w:unhideWhenUsed/>
    <w:qFormat/>
    <w:uiPriority w:val="99"/>
    <w:pPr>
      <w:widowControl w:val="0"/>
      <w:autoSpaceDE w:val="0"/>
      <w:autoSpaceDN w:val="0"/>
      <w:adjustRightInd w:val="0"/>
      <w:spacing w:beforeLines="0" w:afterLines="0"/>
    </w:pPr>
    <w:rPr>
      <w:rFonts w:hint="default" w:asciiTheme="minorHAnsi" w:hAnsiTheme="minorHAnsi" w:eastAsiaTheme="minorEastAsia" w:cstheme="minorBidi"/>
      <w:sz w:val="24"/>
      <w:szCs w:val="24"/>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widowControl w:val="0"/>
      <w:ind w:firstLine="420" w:firstLineChars="200"/>
      <w:jc w:val="both"/>
    </w:pPr>
    <w:rPr>
      <w:rFonts w:ascii="仿宋_GB2312" w:hAnsi="Times New Roman" w:eastAsia="仿宋_GB2312" w:cs="Times New Roman"/>
      <w:kern w:val="2"/>
      <w:sz w:val="32"/>
      <w:szCs w:val="32"/>
      <w:lang w:val="en-US" w:eastAsia="zh-CN" w:bidi="ar-SA"/>
    </w:rPr>
  </w:style>
  <w:style w:type="paragraph" w:styleId="3">
    <w:name w:val="Body Text Indent"/>
    <w:basedOn w:val="1"/>
    <w:qFormat/>
    <w:uiPriority w:val="0"/>
    <w:pPr>
      <w:ind w:firstLine="630"/>
    </w:pPr>
    <w:rPr>
      <w:rFonts w:ascii="仿宋_GB2312" w:eastAsia="仿宋_GB2312"/>
      <w:sz w:val="32"/>
    </w:rPr>
  </w:style>
  <w:style w:type="paragraph" w:styleId="6">
    <w:name w:val="footer"/>
    <w:basedOn w:val="1"/>
    <w:qFormat/>
    <w:uiPriority w:val="0"/>
    <w:pPr>
      <w:tabs>
        <w:tab w:val="center" w:pos="4153"/>
        <w:tab w:val="right" w:pos="8306"/>
      </w:tabs>
      <w:snapToGrid w:val="0"/>
      <w:spacing w:line="240" w:lineRule="auto"/>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spacing w:line="240" w:lineRule="auto"/>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Lenovo\Desktop\03&#34920;.XLS"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Lenovo\Desktop\04&#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a:t>市财政局部门</a:t>
            </a:r>
            <a:r>
              <a:rPr lang="en-US" altLang="zh-CN"/>
              <a:t>2022</a:t>
            </a:r>
            <a:r>
              <a:rPr altLang="en-US"/>
              <a:t>年部门收入决算表</a:t>
            </a:r>
            <a:endParaRPr lang="en-US" altLang="zh-CN"/>
          </a:p>
        </c:rich>
      </c:tx>
      <c:layout/>
      <c:overlay val="0"/>
      <c:spPr>
        <a:noFill/>
        <a:ln>
          <a:noFill/>
        </a:ln>
        <a:effectLst/>
      </c:sp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[03表.XLS]Sheet1!$F$4:$G$7</c:f>
              <c:multiLvlStrCache>
                <c:ptCount val="2"/>
                <c:lvl/>
                <c:lvl/>
                <c:lvl/>
                <c:lvl>
                  <c:pt idx="0">
                    <c:v>财政拨款收入</c:v>
                  </c:pt>
                  <c:pt idx="1">
                    <c:v>上级补助收入</c:v>
                  </c:pt>
                </c:lvl>
              </c:multiLvlStrCache>
            </c:multiLvlStrRef>
          </c:cat>
          <c:val>
            <c:numRef>
              <c:f>[03表.XLS]Sheet1!$F$8:$G$8</c:f>
              <c:numCache>
                <c:formatCode>#,##0.00</c:formatCode>
                <c:ptCount val="2"/>
                <c:pt idx="0">
                  <c:v>2886.39</c:v>
                </c:pt>
                <c:pt idx="1">
                  <c:v>0</c:v>
                </c:pt>
              </c:numCache>
            </c:numRef>
          </c:val>
        </c:ser>
        <c:dLbls>
          <c:showLegendKey val="0"/>
          <c:showVal val="0"/>
          <c:showCatName val="0"/>
          <c:showSerName val="0"/>
          <c:showPercent val="0"/>
          <c:showBubbleSize val="0"/>
        </c:dLbls>
      </c:pie3D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巴市财政局</a:t>
            </a:r>
            <a:r>
              <a:rPr lang="en-US" altLang="zh-CN"/>
              <a:t>2022</a:t>
            </a:r>
            <a:r>
              <a:rPr altLang="en-US"/>
              <a:t>年部门支出决算表</a:t>
            </a:r>
            <a:endParaRPr lang="en-US" altLang="zh-CN"/>
          </a:p>
        </c:rich>
      </c:tx>
      <c:layout>
        <c:manualLayout>
          <c:xMode val="edge"/>
          <c:yMode val="edge"/>
          <c:x val="0.2125"/>
          <c:y val="0.0798611111111111"/>
        </c:manualLayout>
      </c:layout>
      <c:overlay val="0"/>
      <c:spPr>
        <a:noFill/>
        <a:ln>
          <a:noFill/>
        </a:ln>
        <a:effectLst/>
      </c:sp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Pt>
            <c:idx val="2"/>
            <c:bubble3D val="0"/>
            <c:spPr>
              <a:solidFill>
                <a:schemeClr val="accent3"/>
              </a:solidFill>
              <a:ln w="25400">
                <a:solidFill>
                  <a:schemeClr val="lt1"/>
                </a:solidFill>
              </a:ln>
              <a:effectLst/>
              <a:scene3d>
                <a:camera prst="orthographicFront"/>
                <a:lightRig rig="threePt" dir="t"/>
              </a:scene3d>
              <a:sp3d contourW="25400"/>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[04表.XLS]Sheet1!$A$4:$C$7</c:f>
              <c:multiLvlStrCache>
                <c:ptCount val="3"/>
                <c:lvl/>
                <c:lvl/>
                <c:lvl/>
                <c:lvl>
                  <c:pt idx="0">
                    <c:v>本年支出合计</c:v>
                  </c:pt>
                  <c:pt idx="1">
                    <c:v>基本支出</c:v>
                  </c:pt>
                  <c:pt idx="2">
                    <c:v>项目支出</c:v>
                  </c:pt>
                </c:lvl>
              </c:multiLvlStrCache>
            </c:multiLvlStrRef>
          </c:cat>
          <c:val>
            <c:numRef>
              <c:f>[04表.XLS]Sheet1!$A$8:$C$8</c:f>
              <c:numCache>
                <c:formatCode>#,##0.00</c:formatCode>
                <c:ptCount val="3"/>
                <c:pt idx="0">
                  <c:v>2877.52</c:v>
                </c:pt>
                <c:pt idx="1">
                  <c:v>2092.41</c:v>
                </c:pt>
                <c:pt idx="2">
                  <c:v>785.12</c:v>
                </c:pt>
              </c:numCache>
            </c:numRef>
          </c:val>
        </c:ser>
        <c:dLbls>
          <c:showLegendKey val="0"/>
          <c:showVal val="1"/>
          <c:showCatName val="0"/>
          <c:showSerName val="0"/>
          <c:showPercent val="0"/>
          <c:showBubbleSize val="0"/>
        </c:dLbls>
      </c:pie3D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41</Pages>
  <Words>16784</Words>
  <Characters>18354</Characters>
  <Lines>0</Lines>
  <Paragraphs>0</Paragraphs>
  <TotalTime>43</TotalTime>
  <ScaleCrop>false</ScaleCrop>
  <LinksUpToDate>false</LinksUpToDate>
  <CharactersWithSpaces>18667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2023-09-25T08:40:00Z</dcterms:created>
  <dc:creator>Lenovo</dc:creator>
  <cp:lastModifiedBy>Lenovo</cp:lastModifiedBy>
  <cp:lastPrinted>2023-09-27T02:51:15Z</cp:lastPrinted>
  <dcterms:modified xsi:type="dcterms:W3CDTF">2023-09-28T10:14:25Z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F811FFFB2D7D4798A3C30E7B99C28341_13</vt:lpwstr>
  </property>
</Properties>
</file>