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hint="eastAsia" w:ascii="黑体" w:hAnsi="黑体" w:eastAsia="黑体" w:cs="黑体"/>
          <w:bCs/>
          <w:sz w:val="44"/>
          <w:szCs w:val="44"/>
        </w:rPr>
      </w:pPr>
      <w:r>
        <w:rPr>
          <w:rFonts w:hint="eastAsia" w:ascii="黑体" w:hAnsi="黑体" w:eastAsia="黑体" w:cs="黑体"/>
          <w:bCs/>
          <w:sz w:val="44"/>
          <w:szCs w:val="44"/>
        </w:rPr>
        <w:t>202</w:t>
      </w:r>
      <w:r>
        <w:rPr>
          <w:rFonts w:hint="eastAsia" w:ascii="黑体" w:hAnsi="黑体" w:eastAsia="黑体" w:cs="黑体"/>
          <w:bCs/>
          <w:sz w:val="44"/>
          <w:szCs w:val="44"/>
          <w:lang w:val="en-US" w:eastAsia="zh-CN"/>
        </w:rPr>
        <w:t>3</w:t>
      </w:r>
      <w:r>
        <w:rPr>
          <w:rFonts w:hint="eastAsia" w:ascii="黑体" w:hAnsi="黑体" w:eastAsia="黑体" w:cs="黑体"/>
          <w:bCs/>
          <w:sz w:val="44"/>
          <w:szCs w:val="44"/>
        </w:rPr>
        <w:t>年度绩效管理工作开展情况</w:t>
      </w:r>
    </w:p>
    <w:p>
      <w:pPr>
        <w:adjustRightInd w:val="0"/>
        <w:snapToGrid w:val="0"/>
        <w:spacing w:line="560" w:lineRule="exact"/>
        <w:ind w:firstLine="880" w:firstLineChars="200"/>
        <w:rPr>
          <w:rFonts w:ascii="宋体" w:hAnsi="宋体" w:eastAsia="宋体"/>
          <w:bCs/>
          <w:sz w:val="44"/>
          <w:szCs w:val="44"/>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default"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sz w:val="32"/>
          <w:szCs w:val="32"/>
        </w:rPr>
        <w:t>预算绩效管理</w:t>
      </w:r>
      <w:r>
        <w:rPr>
          <w:rFonts w:hint="eastAsia" w:ascii="仿宋_GB2312" w:hAnsi="仿宋_GB2312" w:eastAsia="仿宋_GB2312" w:cs="仿宋_GB2312"/>
          <w:w w:val="98"/>
          <w:sz w:val="32"/>
          <w:szCs w:val="32"/>
          <w:lang w:val="en-US" w:eastAsia="zh-CN"/>
        </w:rPr>
        <w:t>与监督检查，</w:t>
      </w:r>
      <w:r>
        <w:rPr>
          <w:rFonts w:hint="eastAsia" w:ascii="仿宋_GB2312" w:hAnsi="仿宋_GB2312" w:eastAsia="仿宋_GB2312" w:cs="仿宋_GB2312"/>
          <w:w w:val="98"/>
          <w:sz w:val="32"/>
          <w:szCs w:val="32"/>
        </w:rPr>
        <w:t>是</w:t>
      </w:r>
      <w:r>
        <w:rPr>
          <w:rFonts w:hint="eastAsia" w:ascii="仿宋_GB2312" w:hAnsi="仿宋_GB2312" w:eastAsia="仿宋_GB2312" w:cs="仿宋_GB2312"/>
          <w:w w:val="98"/>
          <w:sz w:val="32"/>
          <w:szCs w:val="32"/>
          <w:lang w:val="en-US" w:eastAsia="zh-CN"/>
        </w:rPr>
        <w:t>财政</w:t>
      </w:r>
      <w:r>
        <w:rPr>
          <w:rFonts w:hint="eastAsia" w:ascii="仿宋_GB2312" w:hAnsi="仿宋_GB2312" w:eastAsia="仿宋_GB2312" w:cs="仿宋_GB2312"/>
          <w:w w:val="98"/>
          <w:sz w:val="32"/>
          <w:szCs w:val="32"/>
        </w:rPr>
        <w:t>管理的重要组成部分</w:t>
      </w:r>
      <w:r>
        <w:rPr>
          <w:rFonts w:hint="eastAsia" w:ascii="仿宋_GB2312" w:hAnsi="仿宋_GB2312" w:eastAsia="仿宋_GB2312" w:cs="仿宋_GB2312"/>
          <w:w w:val="98"/>
          <w:sz w:val="32"/>
          <w:szCs w:val="32"/>
          <w:lang w:eastAsia="zh-CN"/>
        </w:rPr>
        <w:t>，</w:t>
      </w:r>
      <w:r>
        <w:rPr>
          <w:rFonts w:hint="eastAsia" w:ascii="仿宋_GB2312" w:hAnsi="仿宋_GB2312" w:eastAsia="仿宋_GB2312" w:cs="仿宋_GB2312"/>
          <w:w w:val="98"/>
          <w:sz w:val="32"/>
          <w:szCs w:val="32"/>
        </w:rPr>
        <w:t>推进</w:t>
      </w:r>
      <w:r>
        <w:rPr>
          <w:rFonts w:hint="eastAsia" w:ascii="仿宋_GB2312" w:hAnsi="仿宋_GB2312" w:eastAsia="仿宋_GB2312" w:cs="仿宋_GB2312"/>
          <w:w w:val="98"/>
          <w:sz w:val="32"/>
          <w:szCs w:val="32"/>
          <w:lang w:val="en-US" w:eastAsia="zh-CN"/>
        </w:rPr>
        <w:t>其</w:t>
      </w:r>
      <w:r>
        <w:rPr>
          <w:rFonts w:hint="eastAsia" w:ascii="仿宋_GB2312" w:hAnsi="仿宋_GB2312" w:eastAsia="仿宋_GB2312" w:cs="仿宋_GB2312"/>
          <w:w w:val="98"/>
          <w:sz w:val="32"/>
          <w:szCs w:val="32"/>
        </w:rPr>
        <w:t>有利于提升预算管理水平、增强单位支出责任、优化公共资源配置、推进财政科学精细化的重要内容。巴彦淖尔市甘其毛都口岸管委会围绕“全面实施</w:t>
      </w:r>
      <w:r>
        <w:rPr>
          <w:rFonts w:hint="eastAsia" w:ascii="仿宋_GB2312" w:hAnsi="仿宋_GB2312" w:eastAsia="仿宋_GB2312" w:cs="仿宋_GB2312"/>
          <w:w w:val="98"/>
          <w:sz w:val="32"/>
          <w:szCs w:val="32"/>
          <w:lang w:val="en-US" w:eastAsia="zh-CN"/>
        </w:rPr>
        <w:t>预算</w:t>
      </w:r>
      <w:r>
        <w:rPr>
          <w:rFonts w:hint="eastAsia" w:ascii="仿宋_GB2312" w:hAnsi="仿宋_GB2312" w:eastAsia="仿宋_GB2312" w:cs="仿宋_GB2312"/>
          <w:w w:val="98"/>
          <w:sz w:val="32"/>
          <w:szCs w:val="32"/>
        </w:rPr>
        <w:t>绩效管理”要点，深入贯彻自治区财政厅《关于全面实施预算绩效管理的实施意见》(内财监〔2019〕1343号)和《巴彦淖尔市全面实施预算绩效管理试点工作方案》等文件精神，结合地区实际情</w:t>
      </w:r>
      <w:r>
        <w:rPr>
          <w:rFonts w:hint="eastAsia" w:ascii="仿宋_GB2312" w:hAnsi="仿宋_GB2312" w:eastAsia="仿宋_GB2312" w:cs="仿宋_GB2312"/>
          <w:w w:val="98"/>
          <w:kern w:val="2"/>
          <w:sz w:val="32"/>
          <w:szCs w:val="32"/>
          <w:lang w:val="en-US" w:eastAsia="zh-CN" w:bidi="ar-SA"/>
        </w:rPr>
        <w:t>况，主要开展了以下几方面工作：</w:t>
      </w:r>
      <w:r>
        <w:rPr>
          <w:rFonts w:hint="eastAsia" w:ascii="仿宋_GB2312" w:hAnsi="仿宋_GB2312" w:eastAsia="仿宋_GB2312" w:cs="仿宋_GB2312"/>
          <w:w w:val="98"/>
          <w:kern w:val="2"/>
          <w:sz w:val="32"/>
          <w:szCs w:val="32"/>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黑体" w:hAnsi="黑体" w:eastAsia="黑体" w:cs="黑体"/>
          <w:w w:val="98"/>
          <w:kern w:val="2"/>
          <w:sz w:val="32"/>
          <w:szCs w:val="32"/>
          <w:lang w:val="en-US" w:eastAsia="zh-CN" w:bidi="ar-SA"/>
        </w:rPr>
      </w:pPr>
      <w:r>
        <w:rPr>
          <w:rFonts w:hint="eastAsia" w:ascii="黑体" w:hAnsi="黑体" w:eastAsia="黑体" w:cs="黑体"/>
          <w:w w:val="98"/>
          <w:kern w:val="2"/>
          <w:sz w:val="32"/>
          <w:szCs w:val="32"/>
          <w:lang w:val="en-US" w:eastAsia="zh-CN" w:bidi="ar-SA"/>
        </w:rPr>
        <w:t>一、基础制度建设方面</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积极研究并转发市财政关于绩效管理的相关文件，如《巴彦淖尔市市级预算管理结果应用办法》、《内蒙古自治区预算绩效管理信息公开管理办法》、《内蒙古自治区财政厅关于贯彻落实&lt;内蒙古自治区项目支出绩效评价管理办法&gt;的通知 》等，对相关制度进了培训与实施。并且在市财政局文件的基础上，根据口岸管委会自身的工作情况与架构，出具了多种绩效管理相关办法，如《巴彦淖尔市甘其毛都口岸管理委员会对外交流合作中心全面实施预算绩效管理试点工作方案》、《巴彦淖尔市甘其毛都口岸管理委员会综合服务中心全面实施预算绩效管理试点工作方案》等。</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黑体" w:hAnsi="黑体" w:eastAsia="黑体" w:cs="黑体"/>
          <w:w w:val="98"/>
          <w:kern w:val="2"/>
          <w:sz w:val="32"/>
          <w:szCs w:val="32"/>
          <w:lang w:val="en-US" w:eastAsia="zh-CN" w:bidi="ar-SA"/>
        </w:rPr>
      </w:pPr>
      <w:r>
        <w:rPr>
          <w:rFonts w:hint="eastAsia" w:ascii="黑体" w:hAnsi="黑体" w:eastAsia="黑体" w:cs="黑体"/>
          <w:w w:val="98"/>
          <w:kern w:val="2"/>
          <w:sz w:val="32"/>
          <w:szCs w:val="32"/>
          <w:lang w:val="en-US" w:eastAsia="zh-CN" w:bidi="ar-SA"/>
        </w:rPr>
        <w:t>二、预算绩效管理方面</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2023年，我委财政部门牵头六个预算单位，对2023年间预算执行情况进行了追踪评估。通过自治区一体化绩效管理系统，对项目金额、名称、执行情况等进行了审核、统计与归类，完成本级六个预算单位的项目绩效目标编制、审核、绩效运行监控、评价等管理过程。通过对《项目执行情况表》、《监控报告》等表的审核与问题整改协助工作，通过线上系统审核与线下材料查验，以双线并行的监控方式，有效开展绩效管理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 xml:space="preserve">在管理改革方面，为及时掌握学习行业最新法规与信息动态、全面提升预算绩效管理团队专业水平，绩效股订阅与收集诸多与绩效工作相关的杂志和经典案例，并由财政部门统一组织绩效工作人员参与数次培训活动，打牢知识基础，将“讲绩效、重绩效、用绩效”、“花钱必问效、无效必问责”的绩效管理理念深入人心。为推动日后工作的顺利开展，打下坚实基础。    </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另外，对甘其毛都出入境边防检查站电动警用多动能巡逻巡检车购置项目、甘其毛都口岸出入境AGV专用通道建设项目、甘其毛都大桥项目、甘其毛都口岸限定区联合查验业务用房建设项目进行重点绩效评价。</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26" w:firstLineChars="200"/>
        <w:textAlignment w:val="auto"/>
        <w:rPr>
          <w:rFonts w:hint="eastAsia" w:ascii="黑体" w:hAnsi="黑体" w:eastAsia="黑体" w:cs="黑体"/>
          <w:w w:val="98"/>
          <w:kern w:val="2"/>
          <w:sz w:val="32"/>
          <w:szCs w:val="32"/>
          <w:lang w:val="en-US" w:eastAsia="zh-CN" w:bidi="ar-SA"/>
        </w:rPr>
      </w:pPr>
      <w:r>
        <w:rPr>
          <w:rFonts w:hint="eastAsia" w:ascii="黑体" w:hAnsi="黑体" w:eastAsia="黑体" w:cs="黑体"/>
          <w:w w:val="98"/>
          <w:kern w:val="2"/>
          <w:sz w:val="32"/>
          <w:szCs w:val="32"/>
          <w:lang w:val="en-US" w:eastAsia="zh-CN" w:bidi="ar-SA"/>
        </w:rPr>
        <w:t>三、预决算公开检查</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default"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预决算公开工作是财政每年例行且财政重点工作之一，对其全程的监督同样十分重要。我委财</w:t>
      </w:r>
      <w:bookmarkStart w:id="0" w:name="_GoBack"/>
      <w:bookmarkEnd w:id="0"/>
      <w:r>
        <w:rPr>
          <w:rFonts w:hint="eastAsia" w:ascii="仿宋_GB2312" w:hAnsi="仿宋_GB2312" w:eastAsia="仿宋_GB2312" w:cs="仿宋_GB2312"/>
          <w:w w:val="98"/>
          <w:kern w:val="2"/>
          <w:sz w:val="32"/>
          <w:szCs w:val="32"/>
          <w:lang w:val="en-US" w:eastAsia="zh-CN" w:bidi="ar-SA"/>
        </w:rPr>
        <w:t>政部门根据各项文件要求，全面有序进行预决算检查工作，确保预决算公开按时按要求完成：</w:t>
      </w:r>
      <w:r>
        <w:rPr>
          <w:rFonts w:hint="eastAsia" w:ascii="仿宋_GB2312" w:hAnsi="仿宋_GB2312" w:eastAsia="仿宋_GB2312" w:cs="仿宋_GB2312"/>
          <w:b/>
          <w:bCs/>
          <w:w w:val="98"/>
          <w:kern w:val="2"/>
          <w:sz w:val="32"/>
          <w:szCs w:val="32"/>
          <w:lang w:val="en-US" w:eastAsia="zh-CN" w:bidi="ar-SA"/>
        </w:rPr>
        <w:t>一是</w:t>
      </w:r>
      <w:r>
        <w:rPr>
          <w:rFonts w:hint="eastAsia" w:ascii="仿宋_GB2312" w:hAnsi="仿宋_GB2312" w:eastAsia="仿宋_GB2312" w:cs="仿宋_GB2312"/>
          <w:w w:val="98"/>
          <w:kern w:val="2"/>
          <w:sz w:val="32"/>
          <w:szCs w:val="32"/>
          <w:lang w:val="en-US" w:eastAsia="zh-CN" w:bidi="ar-SA"/>
        </w:rPr>
        <w:t>为保证公开信息规范，按照自治区预决算公开模板，对各预算单位预决算公开进行了自查；</w:t>
      </w:r>
      <w:r>
        <w:rPr>
          <w:rFonts w:hint="eastAsia" w:ascii="仿宋_GB2312" w:hAnsi="仿宋_GB2312" w:eastAsia="仿宋_GB2312" w:cs="仿宋_GB2312"/>
          <w:b/>
          <w:bCs/>
          <w:w w:val="98"/>
          <w:kern w:val="2"/>
          <w:sz w:val="32"/>
          <w:szCs w:val="32"/>
          <w:lang w:val="en-US" w:eastAsia="zh-CN" w:bidi="ar-SA"/>
        </w:rPr>
        <w:t>二是</w:t>
      </w:r>
      <w:r>
        <w:rPr>
          <w:rFonts w:hint="eastAsia" w:ascii="仿宋_GB2312" w:hAnsi="仿宋_GB2312" w:eastAsia="仿宋_GB2312" w:cs="仿宋_GB2312"/>
          <w:w w:val="98"/>
          <w:kern w:val="2"/>
          <w:sz w:val="32"/>
          <w:szCs w:val="32"/>
          <w:lang w:val="en-US" w:eastAsia="zh-CN" w:bidi="ar-SA"/>
        </w:rPr>
        <w:t>组织财务人员，召开地方预决算公开培训会，并指导预算单位编制报告及填报表格。</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default" w:ascii="仿宋_GB2312" w:hAnsi="仿宋_GB2312" w:eastAsia="仿宋_GB2312" w:cs="仿宋_GB2312"/>
          <w:w w:val="98"/>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default" w:ascii="仿宋_GB2312" w:hAnsi="仿宋_GB2312" w:eastAsia="仿宋_GB2312" w:cs="仿宋_GB2312"/>
          <w:w w:val="98"/>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default" w:ascii="仿宋_GB2312" w:hAnsi="仿宋_GB2312" w:eastAsia="仿宋_GB2312" w:cs="仿宋_GB2312"/>
          <w:w w:val="98"/>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default" w:ascii="仿宋_GB2312" w:hAnsi="仿宋_GB2312" w:eastAsia="仿宋_GB2312" w:cs="仿宋_GB2312"/>
          <w:w w:val="98"/>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default" w:ascii="仿宋_GB2312" w:hAnsi="仿宋_GB2312" w:eastAsia="仿宋_GB2312" w:cs="仿宋_GB2312"/>
          <w:w w:val="98"/>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巴彦淖尔市甘其毛都口岸</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　　　　　　　　　　　　　　管理委员会财政局绩效股</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hAnsi="仿宋_GB2312" w:eastAsia="仿宋_GB2312" w:cs="仿宋_GB2312"/>
          <w:w w:val="98"/>
          <w:kern w:val="2"/>
          <w:sz w:val="32"/>
          <w:szCs w:val="32"/>
          <w:lang w:val="en-US" w:eastAsia="zh-CN" w:bidi="ar-SA"/>
        </w:rPr>
        <w:t xml:space="preserve">                        　　　　　2024年9月24日</w:t>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396308"/>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NTU2MzdkZDg0MjFlNTgzYTJlODQ5NjEyMmVmY2UifQ=="/>
  </w:docVars>
  <w:rsids>
    <w:rsidRoot w:val="0052459E"/>
    <w:rsid w:val="0005146F"/>
    <w:rsid w:val="000560CF"/>
    <w:rsid w:val="000B10D6"/>
    <w:rsid w:val="000C3B87"/>
    <w:rsid w:val="000D130F"/>
    <w:rsid w:val="001118D0"/>
    <w:rsid w:val="00126786"/>
    <w:rsid w:val="001B3247"/>
    <w:rsid w:val="002717E8"/>
    <w:rsid w:val="00290D9B"/>
    <w:rsid w:val="002C4C27"/>
    <w:rsid w:val="002F701B"/>
    <w:rsid w:val="00311B6E"/>
    <w:rsid w:val="003760A5"/>
    <w:rsid w:val="0038576F"/>
    <w:rsid w:val="0039619E"/>
    <w:rsid w:val="004D6F57"/>
    <w:rsid w:val="00506BB2"/>
    <w:rsid w:val="00506D15"/>
    <w:rsid w:val="0052459E"/>
    <w:rsid w:val="0054467F"/>
    <w:rsid w:val="005552D4"/>
    <w:rsid w:val="00560B7C"/>
    <w:rsid w:val="006316C4"/>
    <w:rsid w:val="00677E06"/>
    <w:rsid w:val="006B39E9"/>
    <w:rsid w:val="006C064E"/>
    <w:rsid w:val="006C46C9"/>
    <w:rsid w:val="006F140D"/>
    <w:rsid w:val="00712B36"/>
    <w:rsid w:val="00734452"/>
    <w:rsid w:val="0084468C"/>
    <w:rsid w:val="008550A2"/>
    <w:rsid w:val="008660EA"/>
    <w:rsid w:val="00957B02"/>
    <w:rsid w:val="009659EF"/>
    <w:rsid w:val="00993593"/>
    <w:rsid w:val="009A7E48"/>
    <w:rsid w:val="009B6731"/>
    <w:rsid w:val="009D4EEB"/>
    <w:rsid w:val="00A201EB"/>
    <w:rsid w:val="00A6387B"/>
    <w:rsid w:val="00AD41DE"/>
    <w:rsid w:val="00B1724C"/>
    <w:rsid w:val="00B2392D"/>
    <w:rsid w:val="00B326A5"/>
    <w:rsid w:val="00B36FD2"/>
    <w:rsid w:val="00B444C1"/>
    <w:rsid w:val="00B6033A"/>
    <w:rsid w:val="00B73386"/>
    <w:rsid w:val="00C804D4"/>
    <w:rsid w:val="00CC7B4E"/>
    <w:rsid w:val="00D65C26"/>
    <w:rsid w:val="00D93243"/>
    <w:rsid w:val="00DF7CE4"/>
    <w:rsid w:val="00E07638"/>
    <w:rsid w:val="00E265C5"/>
    <w:rsid w:val="00E35236"/>
    <w:rsid w:val="00E5356E"/>
    <w:rsid w:val="00E811F5"/>
    <w:rsid w:val="00EA046C"/>
    <w:rsid w:val="00EA1E66"/>
    <w:rsid w:val="00EB6E72"/>
    <w:rsid w:val="00EC3C57"/>
    <w:rsid w:val="00ED0DE3"/>
    <w:rsid w:val="00F27C0C"/>
    <w:rsid w:val="00FE1825"/>
    <w:rsid w:val="00FF6C1D"/>
    <w:rsid w:val="036F78B0"/>
    <w:rsid w:val="03927446"/>
    <w:rsid w:val="08423785"/>
    <w:rsid w:val="090D27F0"/>
    <w:rsid w:val="0A682522"/>
    <w:rsid w:val="0AB303BD"/>
    <w:rsid w:val="0B054C33"/>
    <w:rsid w:val="0BA9248D"/>
    <w:rsid w:val="0D4C7ED9"/>
    <w:rsid w:val="11151771"/>
    <w:rsid w:val="119875D6"/>
    <w:rsid w:val="11E76422"/>
    <w:rsid w:val="153B00CD"/>
    <w:rsid w:val="17DF7B36"/>
    <w:rsid w:val="1AD75866"/>
    <w:rsid w:val="1BDF3A83"/>
    <w:rsid w:val="1CFC0A62"/>
    <w:rsid w:val="1F91700A"/>
    <w:rsid w:val="1FE67BF3"/>
    <w:rsid w:val="202645B9"/>
    <w:rsid w:val="208D2DAF"/>
    <w:rsid w:val="22F92F75"/>
    <w:rsid w:val="241A0198"/>
    <w:rsid w:val="25457290"/>
    <w:rsid w:val="25B80D23"/>
    <w:rsid w:val="25B93304"/>
    <w:rsid w:val="262B23D6"/>
    <w:rsid w:val="26340BD8"/>
    <w:rsid w:val="27C937EA"/>
    <w:rsid w:val="2D7C3A6A"/>
    <w:rsid w:val="2DD658CC"/>
    <w:rsid w:val="30550CCF"/>
    <w:rsid w:val="30A6152A"/>
    <w:rsid w:val="31B36D36"/>
    <w:rsid w:val="33210C90"/>
    <w:rsid w:val="337B7828"/>
    <w:rsid w:val="348308EA"/>
    <w:rsid w:val="3630651C"/>
    <w:rsid w:val="36B33543"/>
    <w:rsid w:val="37E64D7C"/>
    <w:rsid w:val="38752C57"/>
    <w:rsid w:val="38FC13EB"/>
    <w:rsid w:val="3A436F3C"/>
    <w:rsid w:val="3B3C568D"/>
    <w:rsid w:val="3CD03B0B"/>
    <w:rsid w:val="3F141D55"/>
    <w:rsid w:val="40805E0F"/>
    <w:rsid w:val="40C813CB"/>
    <w:rsid w:val="4131710E"/>
    <w:rsid w:val="426C1EA8"/>
    <w:rsid w:val="42D83A57"/>
    <w:rsid w:val="42ED51B2"/>
    <w:rsid w:val="45AA0FE0"/>
    <w:rsid w:val="4800307B"/>
    <w:rsid w:val="48DA5DBD"/>
    <w:rsid w:val="48F05969"/>
    <w:rsid w:val="4A2B49D3"/>
    <w:rsid w:val="4B530FC0"/>
    <w:rsid w:val="4C556B8A"/>
    <w:rsid w:val="503827B4"/>
    <w:rsid w:val="52E80330"/>
    <w:rsid w:val="54400165"/>
    <w:rsid w:val="55463FE7"/>
    <w:rsid w:val="55A933E1"/>
    <w:rsid w:val="566B76D6"/>
    <w:rsid w:val="57715B3F"/>
    <w:rsid w:val="5AA84FB2"/>
    <w:rsid w:val="5C682628"/>
    <w:rsid w:val="5CB70077"/>
    <w:rsid w:val="5CDA5333"/>
    <w:rsid w:val="5E572EBE"/>
    <w:rsid w:val="61D35BDF"/>
    <w:rsid w:val="64AD1B28"/>
    <w:rsid w:val="65D0636B"/>
    <w:rsid w:val="65F40105"/>
    <w:rsid w:val="6702364C"/>
    <w:rsid w:val="6A915256"/>
    <w:rsid w:val="6B266701"/>
    <w:rsid w:val="6C7D5BFA"/>
    <w:rsid w:val="712B20C5"/>
    <w:rsid w:val="74DD160C"/>
    <w:rsid w:val="750E1730"/>
    <w:rsid w:val="75D3501D"/>
    <w:rsid w:val="75FD01FB"/>
    <w:rsid w:val="769D2054"/>
    <w:rsid w:val="77884AB3"/>
    <w:rsid w:val="78221490"/>
    <w:rsid w:val="78DD042B"/>
    <w:rsid w:val="794D0100"/>
    <w:rsid w:val="7A3E3B4E"/>
    <w:rsid w:val="7AEA2844"/>
    <w:rsid w:val="7CF67F37"/>
    <w:rsid w:val="7D9F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9"/>
    <w:pPr>
      <w:keepNext/>
      <w:keepLines/>
      <w:ind w:firstLine="200" w:firstLineChars="200"/>
      <w:outlineLvl w:val="2"/>
    </w:pPr>
    <w:rPr>
      <w:rFonts w:eastAsia="仿宋_GB2312" w:asciiTheme="majorHAnsi" w:hAnsiTheme="majorHAnsi" w:cstheme="majorBidi"/>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ind w:firstLine="420" w:firstLineChars="1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99"/>
    <w:pPr>
      <w:ind w:firstLine="420" w:firstLineChars="200"/>
    </w:p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1121</Words>
  <Characters>1142</Characters>
  <Lines>23</Lines>
  <Paragraphs>6</Paragraphs>
  <TotalTime>124</TotalTime>
  <ScaleCrop>false</ScaleCrop>
  <LinksUpToDate>false</LinksUpToDate>
  <CharactersWithSpaces>1191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2021-09-02T02:47:00Z</dcterms:created>
  <dc:creator>bsczjdj88163.com@outlook.com</dc:creator>
  <cp:lastModifiedBy>Administrator</cp:lastModifiedBy>
  <cp:lastPrinted>2023-09-13T02:47:00Z</cp:lastPrinted>
  <dcterms:modified xsi:type="dcterms:W3CDTF">2024-09-24T07:09:38Z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5977D1F2EB8A42539E652C58A5E19633</vt:lpwstr>
  </property>
</Properties>
</file>