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840" w:rsidRDefault="002C1CDF">
      <w:pPr>
        <w:jc w:val="center"/>
        <w:outlineLvl w:val="1"/>
        <w:rPr>
          <w:rFonts w:ascii="宋体" w:eastAsia="宋体" w:hAnsi="宋体" w:cs="宋体"/>
          <w:b/>
          <w:bCs/>
          <w:sz w:val="44"/>
          <w:szCs w:val="44"/>
        </w:rPr>
      </w:pPr>
      <w:r>
        <w:rPr>
          <w:rFonts w:ascii="宋体" w:eastAsia="宋体" w:hAnsi="宋体" w:cs="宋体" w:hint="eastAsia"/>
          <w:b/>
          <w:bCs/>
          <w:sz w:val="44"/>
          <w:szCs w:val="44"/>
        </w:rPr>
        <w:t>2025年预算绩效管理工作开展</w:t>
      </w:r>
    </w:p>
    <w:p w:rsidR="00AC0D5E" w:rsidRDefault="002C1CDF">
      <w:pPr>
        <w:jc w:val="center"/>
        <w:outlineLvl w:val="1"/>
        <w:rPr>
          <w:rFonts w:ascii="宋体" w:hAnsi="宋体" w:cs="宋体"/>
          <w:b/>
          <w:bCs/>
          <w:sz w:val="44"/>
          <w:szCs w:val="44"/>
        </w:rPr>
      </w:pPr>
      <w:r>
        <w:rPr>
          <w:rFonts w:ascii="宋体" w:eastAsia="宋体" w:hAnsi="宋体" w:cs="宋体" w:hint="eastAsia"/>
          <w:b/>
          <w:bCs/>
          <w:sz w:val="44"/>
          <w:szCs w:val="44"/>
        </w:rPr>
        <w:t>情况的说明</w:t>
      </w:r>
    </w:p>
    <w:p w:rsidR="00AC0D5E" w:rsidRDefault="00AC0D5E">
      <w:pPr>
        <w:spacing w:line="560" w:lineRule="exact"/>
        <w:ind w:firstLineChars="200" w:firstLine="640"/>
        <w:outlineLvl w:val="1"/>
        <w:rPr>
          <w:rFonts w:ascii="黑体" w:eastAsia="黑体" w:hAnsi="黑体" w:cs="黑体"/>
          <w:sz w:val="32"/>
          <w:szCs w:val="32"/>
        </w:rPr>
      </w:pPr>
    </w:p>
    <w:p w:rsidR="00AC0D5E" w:rsidRDefault="002C1CDF" w:rsidP="000C31B7">
      <w:pPr>
        <w:spacing w:line="560" w:lineRule="exact"/>
        <w:ind w:firstLineChars="200" w:firstLine="643"/>
        <w:outlineLvl w:val="1"/>
        <w:rPr>
          <w:rFonts w:ascii="黑体" w:eastAsia="黑体" w:hAnsi="黑体" w:cs="黑体"/>
          <w:b/>
          <w:bCs/>
          <w:sz w:val="32"/>
          <w:szCs w:val="32"/>
        </w:rPr>
      </w:pPr>
      <w:r>
        <w:rPr>
          <w:rFonts w:ascii="黑体" w:eastAsia="黑体" w:hAnsi="黑体" w:cs="黑体" w:hint="eastAsia"/>
          <w:b/>
          <w:bCs/>
          <w:sz w:val="32"/>
          <w:szCs w:val="32"/>
        </w:rPr>
        <w:t>一、进一步加强制度建设</w:t>
      </w:r>
    </w:p>
    <w:p w:rsidR="00AC0D5E" w:rsidRDefault="002C1CDF" w:rsidP="000C31B7">
      <w:pPr>
        <w:pStyle w:val="a5"/>
        <w:widowControl/>
        <w:shd w:val="clear" w:color="auto" w:fill="FFFFFF"/>
        <w:spacing w:line="560" w:lineRule="exact"/>
        <w:ind w:firstLineChars="200" w:firstLine="643"/>
        <w:rPr>
          <w:rFonts w:ascii="仿宋_GB2312" w:eastAsia="仿宋_GB2312" w:hAnsi="仿宋_GB2312" w:cs="仿宋_GB2312"/>
          <w:sz w:val="32"/>
          <w:szCs w:val="32"/>
        </w:rPr>
      </w:pPr>
      <w:r>
        <w:rPr>
          <w:rFonts w:ascii="黑体" w:eastAsia="黑体" w:hAnsi="黑体" w:cs="黑体"/>
          <w:b/>
          <w:bCs/>
          <w:sz w:val="32"/>
          <w:szCs w:val="32"/>
        </w:rPr>
        <w:t> </w:t>
      </w:r>
      <w:r>
        <w:rPr>
          <w:rFonts w:ascii="仿宋_GB2312" w:eastAsia="仿宋_GB2312" w:hAnsi="仿宋_GB2312" w:cs="仿宋_GB2312"/>
          <w:sz w:val="32"/>
          <w:szCs w:val="32"/>
        </w:rPr>
        <w:t>2025年，</w:t>
      </w:r>
      <w:r>
        <w:rPr>
          <w:rFonts w:ascii="仿宋_GB2312" w:eastAsia="仿宋_GB2312" w:hAnsi="仿宋_GB2312" w:cs="仿宋_GB2312" w:hint="eastAsia"/>
          <w:sz w:val="32"/>
          <w:szCs w:val="32"/>
        </w:rPr>
        <w:t>《巴彦淖尔市本级年度新增重大决策、项目事前绩效评估工作指南（试行）》作为市本级深化零基预算改革其中一项配套指南的印发施行，进一步</w:t>
      </w:r>
      <w:r>
        <w:rPr>
          <w:rFonts w:ascii="仿宋_GB2312" w:eastAsia="仿宋_GB2312" w:hAnsi="仿宋_GB2312" w:cs="仿宋_GB2312"/>
          <w:sz w:val="32"/>
          <w:szCs w:val="32"/>
        </w:rPr>
        <w:t>将</w:t>
      </w:r>
      <w:r>
        <w:rPr>
          <w:rFonts w:ascii="仿宋_GB2312" w:eastAsia="仿宋_GB2312" w:hAnsi="仿宋_GB2312" w:cs="仿宋_GB2312" w:hint="eastAsia"/>
          <w:sz w:val="32"/>
          <w:szCs w:val="32"/>
        </w:rPr>
        <w:t>《内蒙古自治区预算绩效管理条例》</w:t>
      </w:r>
      <w:r>
        <w:rPr>
          <w:rFonts w:ascii="仿宋_GB2312" w:eastAsia="仿宋_GB2312" w:hAnsi="仿宋_GB2312" w:cs="仿宋_GB2312"/>
          <w:sz w:val="32"/>
          <w:szCs w:val="32"/>
        </w:rPr>
        <w:t>精神贯穿于预算编制、执行、监督</w:t>
      </w:r>
      <w:r>
        <w:rPr>
          <w:rFonts w:ascii="仿宋_GB2312" w:eastAsia="仿宋_GB2312" w:hAnsi="仿宋_GB2312" w:cs="仿宋_GB2312" w:hint="eastAsia"/>
          <w:sz w:val="32"/>
          <w:szCs w:val="32"/>
        </w:rPr>
        <w:t>的</w:t>
      </w:r>
      <w:r>
        <w:rPr>
          <w:rFonts w:ascii="仿宋_GB2312" w:eastAsia="仿宋_GB2312" w:hAnsi="仿宋_GB2312" w:cs="仿宋_GB2312"/>
          <w:sz w:val="32"/>
          <w:szCs w:val="32"/>
        </w:rPr>
        <w:t>全过程，推动各部门形成“讲绩效、重绩效、用绩效”的管理氛围，为全面提升财政资源配置效率和使用效益奠定制度基础。</w:t>
      </w:r>
    </w:p>
    <w:p w:rsidR="00AC0D5E" w:rsidRDefault="002C1CDF" w:rsidP="000C31B7">
      <w:pPr>
        <w:pStyle w:val="a5"/>
        <w:widowControl/>
        <w:numPr>
          <w:ilvl w:val="0"/>
          <w:numId w:val="1"/>
        </w:numPr>
        <w:shd w:val="clear" w:color="auto" w:fill="FFFFFF"/>
        <w:spacing w:line="560" w:lineRule="exact"/>
        <w:ind w:firstLineChars="200" w:firstLine="643"/>
        <w:rPr>
          <w:rFonts w:ascii="黑体" w:eastAsia="黑体" w:hAnsi="黑体" w:cs="黑体"/>
          <w:b/>
          <w:bCs/>
          <w:sz w:val="32"/>
          <w:szCs w:val="32"/>
        </w:rPr>
      </w:pPr>
      <w:r>
        <w:rPr>
          <w:rFonts w:ascii="黑体" w:eastAsia="黑体" w:hAnsi="黑体" w:cs="黑体" w:hint="eastAsia"/>
          <w:b/>
          <w:bCs/>
          <w:sz w:val="32"/>
          <w:szCs w:val="32"/>
        </w:rPr>
        <w:t>做好绩效目标审核和</w:t>
      </w:r>
      <w:r>
        <w:rPr>
          <w:rFonts w:ascii="黑体" w:eastAsia="黑体" w:hAnsi="黑体" w:cs="黑体"/>
          <w:b/>
          <w:bCs/>
          <w:sz w:val="32"/>
          <w:szCs w:val="32"/>
        </w:rPr>
        <w:t>事前绩效评估</w:t>
      </w:r>
      <w:r>
        <w:rPr>
          <w:rFonts w:ascii="黑体" w:eastAsia="黑体" w:hAnsi="黑体" w:cs="黑体" w:hint="eastAsia"/>
          <w:b/>
          <w:bCs/>
          <w:sz w:val="32"/>
          <w:szCs w:val="32"/>
        </w:rPr>
        <w:t>工作</w:t>
      </w:r>
    </w:p>
    <w:p w:rsidR="00AC0D5E" w:rsidRDefault="002C1CDF" w:rsidP="000C31B7">
      <w:pPr>
        <w:pStyle w:val="a5"/>
        <w:widowControl/>
        <w:shd w:val="clear" w:color="auto" w:fill="FFFFFF"/>
        <w:spacing w:line="560" w:lineRule="exact"/>
        <w:ind w:firstLineChars="200" w:firstLine="640"/>
        <w:rPr>
          <w:rFonts w:ascii="仿宋_GB2312" w:eastAsia="仿宋_GB2312" w:hAnsi="仿宋_GB2312" w:cs="仿宋_GB2312"/>
          <w:sz w:val="32"/>
          <w:szCs w:val="32"/>
          <w:highlight w:val="green"/>
        </w:rPr>
      </w:pPr>
      <w:r>
        <w:rPr>
          <w:rFonts w:ascii="仿宋_GB2312" w:eastAsia="仿宋_GB2312" w:hAnsi="仿宋_GB2312" w:cs="仿宋_GB2312"/>
          <w:sz w:val="32"/>
          <w:szCs w:val="32"/>
        </w:rPr>
        <w:t>坚持“谁申请资金、谁设定目标”原则，</w:t>
      </w:r>
      <w:r>
        <w:rPr>
          <w:rFonts w:ascii="仿宋_GB2312" w:eastAsia="仿宋_GB2312" w:hAnsi="仿宋_GB2312" w:cs="仿宋_GB2312" w:hint="eastAsia"/>
          <w:sz w:val="32"/>
          <w:szCs w:val="32"/>
        </w:rPr>
        <w:t>进一步</w:t>
      </w:r>
      <w:r>
        <w:rPr>
          <w:rFonts w:ascii="仿宋" w:eastAsia="仿宋" w:hAnsi="仿宋" w:cs="仿宋" w:hint="eastAsia"/>
          <w:color w:val="0F1115"/>
          <w:sz w:val="32"/>
          <w:szCs w:val="32"/>
          <w:shd w:val="clear" w:color="auto" w:fill="FFFFFF"/>
        </w:rPr>
        <w:t>加强对各部门（单位）申报资金绩效目标的审核，确保其完整性、相关性、适当性和可行</w:t>
      </w:r>
      <w:r>
        <w:rPr>
          <w:rFonts w:ascii="仿宋_GB2312" w:eastAsia="仿宋_GB2312" w:hAnsi="仿宋_GB2312" w:cs="仿宋_GB2312" w:hint="eastAsia"/>
          <w:sz w:val="32"/>
          <w:szCs w:val="32"/>
        </w:rPr>
        <w:t>性。在编制</w:t>
      </w:r>
      <w:r>
        <w:rPr>
          <w:rFonts w:ascii="仿宋_GB2312" w:eastAsia="仿宋_GB2312" w:hAnsi="仿宋_GB2312" w:cs="仿宋_GB2312"/>
          <w:sz w:val="32"/>
          <w:szCs w:val="32"/>
        </w:rPr>
        <w:t>2026年度</w:t>
      </w:r>
      <w:r>
        <w:rPr>
          <w:rFonts w:ascii="仿宋_GB2312" w:eastAsia="仿宋_GB2312" w:hAnsi="仿宋_GB2312" w:cs="仿宋_GB2312" w:hint="eastAsia"/>
          <w:sz w:val="32"/>
          <w:szCs w:val="32"/>
        </w:rPr>
        <w:t>预算时，共对</w:t>
      </w:r>
      <w:r>
        <w:rPr>
          <w:rFonts w:ascii="仿宋_GB2312" w:eastAsia="仿宋_GB2312" w:hAnsi="仿宋_GB2312" w:cs="仿宋_GB2312"/>
          <w:sz w:val="32"/>
          <w:szCs w:val="32"/>
        </w:rPr>
        <w:t>2059个预算项目的绩效目标</w:t>
      </w:r>
      <w:r>
        <w:rPr>
          <w:rFonts w:ascii="仿宋_GB2312" w:eastAsia="仿宋_GB2312" w:hAnsi="仿宋_GB2312" w:cs="仿宋_GB2312" w:hint="eastAsia"/>
          <w:sz w:val="32"/>
          <w:szCs w:val="32"/>
        </w:rPr>
        <w:t>进行了</w:t>
      </w:r>
      <w:r>
        <w:rPr>
          <w:rFonts w:ascii="仿宋_GB2312" w:eastAsia="仿宋_GB2312" w:hAnsi="仿宋_GB2312" w:cs="仿宋_GB2312"/>
          <w:sz w:val="32"/>
          <w:szCs w:val="32"/>
        </w:rPr>
        <w:t>审核，涉及资金217.05亿元，对</w:t>
      </w:r>
      <w:r>
        <w:rPr>
          <w:rFonts w:ascii="仿宋_GB2312" w:eastAsia="仿宋_GB2312" w:hAnsi="仿宋_GB2312" w:cs="仿宋_GB2312" w:hint="eastAsia"/>
          <w:sz w:val="32"/>
          <w:szCs w:val="32"/>
        </w:rPr>
        <w:t>市本级</w:t>
      </w:r>
      <w:r>
        <w:rPr>
          <w:rFonts w:ascii="仿宋" w:eastAsia="仿宋" w:hAnsi="仿宋" w:cs="仿宋" w:hint="eastAsia"/>
          <w:color w:val="0F1115"/>
          <w:sz w:val="32"/>
          <w:szCs w:val="32"/>
          <w:shd w:val="clear" w:color="auto" w:fill="FFFFFF"/>
        </w:rPr>
        <w:t>6个新增重大项目开展了事前绩效评估，有效发挥了事前绩效评估“过滤器”作用，增强预算安排的科学性</w:t>
      </w:r>
      <w:bookmarkStart w:id="0" w:name="_GoBack"/>
      <w:bookmarkEnd w:id="0"/>
      <w:r>
        <w:rPr>
          <w:rFonts w:ascii="仿宋" w:eastAsia="仿宋" w:hAnsi="仿宋" w:cs="仿宋" w:hint="eastAsia"/>
          <w:color w:val="0F1115"/>
          <w:sz w:val="32"/>
          <w:szCs w:val="32"/>
          <w:shd w:val="clear" w:color="auto" w:fill="FFFFFF"/>
        </w:rPr>
        <w:t>。</w:t>
      </w:r>
    </w:p>
    <w:p w:rsidR="00AC0D5E" w:rsidRDefault="002C1CDF" w:rsidP="000C31B7">
      <w:pPr>
        <w:pStyle w:val="a5"/>
        <w:widowControl/>
        <w:numPr>
          <w:ilvl w:val="0"/>
          <w:numId w:val="1"/>
        </w:numPr>
        <w:shd w:val="clear" w:color="auto" w:fill="FFFFFF"/>
        <w:spacing w:line="560" w:lineRule="exact"/>
        <w:ind w:firstLineChars="200" w:firstLine="643"/>
        <w:rPr>
          <w:rFonts w:ascii="黑体" w:eastAsia="黑体" w:hAnsi="黑体" w:cs="黑体"/>
          <w:b/>
          <w:bCs/>
          <w:sz w:val="32"/>
          <w:szCs w:val="32"/>
        </w:rPr>
      </w:pPr>
      <w:r>
        <w:rPr>
          <w:rFonts w:ascii="黑体" w:eastAsia="黑体" w:hAnsi="黑体" w:cs="黑体"/>
          <w:b/>
          <w:bCs/>
          <w:sz w:val="32"/>
          <w:szCs w:val="32"/>
        </w:rPr>
        <w:t>实施绩效运行监控</w:t>
      </w:r>
    </w:p>
    <w:p w:rsidR="00AC0D5E" w:rsidRDefault="002C1CDF" w:rsidP="000C31B7">
      <w:pPr>
        <w:pStyle w:val="a5"/>
        <w:widowControl/>
        <w:shd w:val="clear" w:color="auto" w:fill="FFFFFF"/>
        <w:spacing w:line="560" w:lineRule="exact"/>
        <w:ind w:firstLineChars="200" w:firstLine="640"/>
        <w:rPr>
          <w:rFonts w:ascii="仿宋_GB2312" w:eastAsia="仿宋_GB2312" w:hAnsi="仿宋_GB2312" w:cs="仿宋_GB2312"/>
          <w:color w:val="00B050"/>
          <w:sz w:val="36"/>
          <w:szCs w:val="36"/>
          <w:highlight w:val="green"/>
        </w:rPr>
      </w:pPr>
      <w:r>
        <w:rPr>
          <w:rFonts w:ascii="仿宋" w:eastAsia="仿宋" w:hAnsi="仿宋" w:cs="仿宋" w:hint="eastAsia"/>
          <w:color w:val="0F1115"/>
          <w:sz w:val="32"/>
          <w:szCs w:val="32"/>
          <w:shd w:val="clear" w:color="auto" w:fill="FFFFFF"/>
        </w:rPr>
        <w:t> 要求资金使用单位定期对项目资金预算执行情况和绩效目标实现程度进行自行监控</w:t>
      </w:r>
      <w:r>
        <w:rPr>
          <w:rFonts w:ascii="仿宋_GB2312" w:eastAsia="仿宋_GB2312" w:hAnsi="仿宋_GB2312" w:cs="仿宋_GB2312" w:hint="eastAsia"/>
          <w:sz w:val="32"/>
          <w:szCs w:val="32"/>
        </w:rPr>
        <w:t>。2025年，依托“预算管理一体化”系统，</w:t>
      </w:r>
      <w:r>
        <w:rPr>
          <w:rFonts w:ascii="仿宋" w:eastAsia="仿宋" w:hAnsi="仿宋" w:cs="仿宋" w:hint="eastAsia"/>
          <w:color w:val="0F1115"/>
          <w:sz w:val="32"/>
          <w:szCs w:val="32"/>
          <w:shd w:val="clear" w:color="auto" w:fill="FFFFFF"/>
        </w:rPr>
        <w:t>对1288个项目开展了项目运行绩效监控，涉及金额44.05亿元。</w:t>
      </w:r>
    </w:p>
    <w:p w:rsidR="00AC0D5E" w:rsidRDefault="002C1CDF" w:rsidP="000C31B7">
      <w:pPr>
        <w:pStyle w:val="a5"/>
        <w:widowControl/>
        <w:numPr>
          <w:ilvl w:val="0"/>
          <w:numId w:val="1"/>
        </w:numPr>
        <w:shd w:val="clear" w:color="auto" w:fill="FFFFFF"/>
        <w:spacing w:line="560" w:lineRule="exact"/>
        <w:ind w:firstLineChars="200" w:firstLine="643"/>
        <w:rPr>
          <w:rFonts w:ascii="黑体" w:eastAsia="黑体" w:hAnsi="黑体" w:cs="黑体"/>
          <w:b/>
          <w:bCs/>
          <w:sz w:val="32"/>
          <w:szCs w:val="32"/>
        </w:rPr>
      </w:pPr>
      <w:r>
        <w:rPr>
          <w:rFonts w:ascii="黑体" w:eastAsia="黑体" w:hAnsi="黑体" w:cs="黑体"/>
          <w:b/>
          <w:bCs/>
          <w:sz w:val="32"/>
          <w:szCs w:val="32"/>
        </w:rPr>
        <w:lastRenderedPageBreak/>
        <w:t>扎实开展绩效评</w:t>
      </w:r>
      <w:r>
        <w:rPr>
          <w:rFonts w:ascii="黑体" w:eastAsia="黑体" w:hAnsi="黑体" w:cs="黑体" w:hint="eastAsia"/>
          <w:b/>
          <w:bCs/>
          <w:sz w:val="32"/>
          <w:szCs w:val="32"/>
        </w:rPr>
        <w:t>价</w:t>
      </w:r>
    </w:p>
    <w:p w:rsidR="00AC0D5E" w:rsidRDefault="002C1CDF" w:rsidP="000C31B7">
      <w:pPr>
        <w:pStyle w:val="a5"/>
        <w:widowControl/>
        <w:shd w:val="clear" w:color="auto" w:fill="FFFFFF"/>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全面部署</w:t>
      </w:r>
      <w:r>
        <w:rPr>
          <w:rFonts w:ascii="仿宋_GB2312" w:eastAsia="仿宋_GB2312" w:hAnsi="仿宋_GB2312" w:cs="仿宋_GB2312" w:hint="eastAsia"/>
          <w:sz w:val="32"/>
          <w:szCs w:val="32"/>
        </w:rPr>
        <w:t>各预算单位开展部门整体自评</w:t>
      </w:r>
      <w:r>
        <w:rPr>
          <w:rFonts w:ascii="仿宋_GB2312" w:eastAsia="仿宋_GB2312" w:hAnsi="仿宋_GB2312" w:cs="仿宋_GB2312"/>
          <w:sz w:val="32"/>
          <w:szCs w:val="32"/>
        </w:rPr>
        <w:t>工作</w:t>
      </w:r>
      <w:r>
        <w:rPr>
          <w:rFonts w:ascii="仿宋_GB2312" w:eastAsia="仿宋_GB2312" w:hAnsi="仿宋_GB2312" w:cs="仿宋_GB2312" w:hint="eastAsia"/>
          <w:sz w:val="32"/>
          <w:szCs w:val="32"/>
        </w:rPr>
        <w:t>，共审核部门整体绩效评价82个，涉及资金1.85亿元</w:t>
      </w:r>
      <w:r>
        <w:rPr>
          <w:rFonts w:ascii="仿宋_GB2312" w:eastAsia="仿宋_GB2312" w:hAnsi="仿宋_GB2312" w:cs="仿宋_GB2312"/>
          <w:sz w:val="32"/>
          <w:szCs w:val="32"/>
        </w:rPr>
        <w:t>。同时，</w:t>
      </w:r>
      <w:r>
        <w:rPr>
          <w:rFonts w:ascii="仿宋_GB2312" w:eastAsia="仿宋_GB2312" w:hAnsi="仿宋_GB2312" w:cs="仿宋_GB2312" w:hint="eastAsia"/>
          <w:sz w:val="32"/>
          <w:szCs w:val="32"/>
        </w:rPr>
        <w:t>市本级选取</w:t>
      </w:r>
      <w:r>
        <w:rPr>
          <w:rFonts w:ascii="仿宋_GB2312" w:eastAsia="仿宋_GB2312" w:hAnsi="仿宋_GB2312" w:cs="仿宋_GB2312"/>
          <w:sz w:val="32"/>
          <w:szCs w:val="32"/>
        </w:rPr>
        <w:t>“市级两校一园建设”</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“国资改革监管经费”等</w:t>
      </w:r>
      <w:r>
        <w:rPr>
          <w:rFonts w:ascii="仿宋_GB2312" w:eastAsia="仿宋_GB2312" w:hAnsi="仿宋_GB2312" w:cs="仿宋_GB2312" w:hint="eastAsia"/>
          <w:sz w:val="32"/>
          <w:szCs w:val="32"/>
        </w:rPr>
        <w:t>7</w:t>
      </w:r>
      <w:r>
        <w:rPr>
          <w:rFonts w:ascii="仿宋_GB2312" w:eastAsia="仿宋_GB2312" w:hAnsi="仿宋_GB2312" w:cs="仿宋_GB2312"/>
          <w:sz w:val="32"/>
          <w:szCs w:val="32"/>
        </w:rPr>
        <w:t>个项目</w:t>
      </w:r>
      <w:r>
        <w:rPr>
          <w:rFonts w:ascii="仿宋_GB2312" w:eastAsia="仿宋_GB2312" w:hAnsi="仿宋_GB2312" w:cs="仿宋_GB2312" w:hint="eastAsia"/>
          <w:sz w:val="32"/>
          <w:szCs w:val="32"/>
        </w:rPr>
        <w:t>和1个下级政府财政运行开展重点绩效评价。</w:t>
      </w:r>
    </w:p>
    <w:p w:rsidR="00AC0D5E" w:rsidRDefault="002C1CDF" w:rsidP="000C31B7">
      <w:pPr>
        <w:pStyle w:val="a5"/>
        <w:widowControl/>
        <w:numPr>
          <w:ilvl w:val="0"/>
          <w:numId w:val="1"/>
        </w:numPr>
        <w:shd w:val="clear" w:color="auto" w:fill="FFFFFF"/>
        <w:spacing w:line="560" w:lineRule="exact"/>
        <w:ind w:firstLineChars="200" w:firstLine="643"/>
        <w:rPr>
          <w:rFonts w:ascii="黑体" w:eastAsia="黑体" w:hAnsi="黑体" w:cs="黑体"/>
          <w:b/>
          <w:bCs/>
          <w:sz w:val="32"/>
          <w:szCs w:val="32"/>
        </w:rPr>
      </w:pPr>
      <w:r>
        <w:rPr>
          <w:rFonts w:ascii="黑体" w:eastAsia="黑体" w:hAnsi="黑体" w:cs="黑体"/>
          <w:b/>
          <w:bCs/>
          <w:sz w:val="32"/>
          <w:szCs w:val="32"/>
        </w:rPr>
        <w:t>深化评价结果应用</w:t>
      </w:r>
    </w:p>
    <w:p w:rsidR="00AC0D5E" w:rsidRDefault="002C1CDF" w:rsidP="000C31B7">
      <w:pPr>
        <w:pStyle w:val="a5"/>
        <w:widowControl/>
        <w:shd w:val="clear" w:color="auto" w:fill="FFFFFF"/>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建立健全绩效评价结果与预算安排、政策调整挂钩机制，将评价结果作为后续年度预算编制和完善政策的重要依据。</w:t>
      </w:r>
      <w:r>
        <w:rPr>
          <w:rFonts w:ascii="仿宋_GB2312" w:eastAsia="仿宋_GB2312" w:hAnsi="仿宋_GB2312" w:cs="仿宋_GB2312" w:hint="eastAsia"/>
          <w:sz w:val="32"/>
          <w:szCs w:val="32"/>
        </w:rPr>
        <w:t>大力推进绩效信息公开，自觉接受社会各界监督。</w:t>
      </w:r>
    </w:p>
    <w:p w:rsidR="00AC0D5E" w:rsidRDefault="00AC0D5E" w:rsidP="000C31B7">
      <w:pPr>
        <w:pStyle w:val="a5"/>
        <w:widowControl/>
        <w:shd w:val="clear" w:color="auto" w:fill="FFFFFF"/>
        <w:spacing w:line="560" w:lineRule="exact"/>
        <w:ind w:firstLineChars="200" w:firstLine="640"/>
        <w:rPr>
          <w:rFonts w:ascii="仿宋_GB2312" w:eastAsia="仿宋_GB2312" w:hAnsi="仿宋_GB2312" w:cs="仿宋_GB2312"/>
          <w:sz w:val="32"/>
          <w:szCs w:val="32"/>
        </w:rPr>
      </w:pPr>
    </w:p>
    <w:sectPr w:rsidR="00AC0D5E" w:rsidSect="00AC0D5E">
      <w:footerReference w:type="default" r:id="rId8"/>
      <w:pgSz w:w="11906" w:h="16838"/>
      <w:pgMar w:top="2098" w:right="1474" w:bottom="1984" w:left="158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0732" w:rsidRDefault="00910732" w:rsidP="00AC0D5E">
      <w:r>
        <w:separator/>
      </w:r>
    </w:p>
  </w:endnote>
  <w:endnote w:type="continuationSeparator" w:id="0">
    <w:p w:rsidR="00910732" w:rsidRDefault="00910732" w:rsidP="00AC0D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D5E" w:rsidRDefault="00ED4ACC">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filled="f" stroked="f" strokeweight=".5pt">
          <v:textbox style="mso-fit-shape-to-text:t" inset="0,0,0,0">
            <w:txbxContent>
              <w:p w:rsidR="00AC0D5E" w:rsidRDefault="00ED4ACC">
                <w:pPr>
                  <w:pStyle w:val="a3"/>
                </w:pPr>
                <w:r>
                  <w:fldChar w:fldCharType="begin"/>
                </w:r>
                <w:r w:rsidR="002C1CDF">
                  <w:instrText xml:space="preserve"> PAGE  \* MERGEFORMAT </w:instrText>
                </w:r>
                <w:r>
                  <w:fldChar w:fldCharType="separate"/>
                </w:r>
                <w:r w:rsidR="000C31B7">
                  <w:rPr>
                    <w:noProof/>
                  </w:rPr>
                  <w:t>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0732" w:rsidRDefault="00910732" w:rsidP="00AC0D5E">
      <w:r>
        <w:separator/>
      </w:r>
    </w:p>
  </w:footnote>
  <w:footnote w:type="continuationSeparator" w:id="0">
    <w:p w:rsidR="00910732" w:rsidRDefault="00910732" w:rsidP="00AC0D5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577BD0"/>
    <w:multiLevelType w:val="singleLevel"/>
    <w:tmpl w:val="41577BD0"/>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
  <w:rsids>
    <w:rsidRoot w:val="297841EA"/>
    <w:rsid w:val="DEFB8F33"/>
    <w:rsid w:val="DFF8E999"/>
    <w:rsid w:val="E7ED47C6"/>
    <w:rsid w:val="F9FB4919"/>
    <w:rsid w:val="000C31B7"/>
    <w:rsid w:val="00143840"/>
    <w:rsid w:val="002C1CDF"/>
    <w:rsid w:val="002C4449"/>
    <w:rsid w:val="003175CA"/>
    <w:rsid w:val="004B7C33"/>
    <w:rsid w:val="00877F2B"/>
    <w:rsid w:val="00910732"/>
    <w:rsid w:val="00AC0D5E"/>
    <w:rsid w:val="00ED4ACC"/>
    <w:rsid w:val="02EB05EB"/>
    <w:rsid w:val="05476CE9"/>
    <w:rsid w:val="097E5D15"/>
    <w:rsid w:val="09C556F2"/>
    <w:rsid w:val="0DB813EC"/>
    <w:rsid w:val="0F263D0E"/>
    <w:rsid w:val="0F9D3E41"/>
    <w:rsid w:val="102B2027"/>
    <w:rsid w:val="10C86CA1"/>
    <w:rsid w:val="16123666"/>
    <w:rsid w:val="1AE16D0C"/>
    <w:rsid w:val="1BBD6EDA"/>
    <w:rsid w:val="1CC25AC1"/>
    <w:rsid w:val="1D9C4564"/>
    <w:rsid w:val="200565DE"/>
    <w:rsid w:val="20E73ED4"/>
    <w:rsid w:val="22552F34"/>
    <w:rsid w:val="297841EA"/>
    <w:rsid w:val="29A32517"/>
    <w:rsid w:val="2AF05A0B"/>
    <w:rsid w:val="2EF04710"/>
    <w:rsid w:val="2F302D5E"/>
    <w:rsid w:val="2FBF6DCC"/>
    <w:rsid w:val="307D1FD3"/>
    <w:rsid w:val="308E90A0"/>
    <w:rsid w:val="30AA0D09"/>
    <w:rsid w:val="32EA4D5C"/>
    <w:rsid w:val="34915819"/>
    <w:rsid w:val="364F3AEC"/>
    <w:rsid w:val="3899019D"/>
    <w:rsid w:val="38ED3A6E"/>
    <w:rsid w:val="3ACF2D0A"/>
    <w:rsid w:val="3F56236D"/>
    <w:rsid w:val="40006B84"/>
    <w:rsid w:val="415466B3"/>
    <w:rsid w:val="4196302F"/>
    <w:rsid w:val="42FC322C"/>
    <w:rsid w:val="460440F6"/>
    <w:rsid w:val="490948F4"/>
    <w:rsid w:val="49A66B2F"/>
    <w:rsid w:val="4A513E5D"/>
    <w:rsid w:val="4E2A50F1"/>
    <w:rsid w:val="52AD62F0"/>
    <w:rsid w:val="615C02BC"/>
    <w:rsid w:val="61640808"/>
    <w:rsid w:val="62C01145"/>
    <w:rsid w:val="64426454"/>
    <w:rsid w:val="671B7875"/>
    <w:rsid w:val="676C00D0"/>
    <w:rsid w:val="67EA323C"/>
    <w:rsid w:val="6BD54707"/>
    <w:rsid w:val="6BEB02B8"/>
    <w:rsid w:val="6DD16EDF"/>
    <w:rsid w:val="6FFF223A"/>
    <w:rsid w:val="74AC6D4D"/>
    <w:rsid w:val="75F55A8C"/>
    <w:rsid w:val="79B53B59"/>
    <w:rsid w:val="7BAF5C55"/>
    <w:rsid w:val="7C947A56"/>
    <w:rsid w:val="7E761044"/>
    <w:rsid w:val="7F286B7B"/>
    <w:rsid w:val="7FAE7080"/>
    <w:rsid w:val="9FBD64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C0D5E"/>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AC0D5E"/>
    <w:pPr>
      <w:tabs>
        <w:tab w:val="center" w:pos="4153"/>
        <w:tab w:val="right" w:pos="8306"/>
      </w:tabs>
      <w:snapToGrid w:val="0"/>
      <w:jc w:val="left"/>
    </w:pPr>
    <w:rPr>
      <w:sz w:val="18"/>
    </w:rPr>
  </w:style>
  <w:style w:type="paragraph" w:styleId="a4">
    <w:name w:val="header"/>
    <w:basedOn w:val="a"/>
    <w:link w:val="Char"/>
    <w:qFormat/>
    <w:rsid w:val="00AC0D5E"/>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AC0D5E"/>
    <w:rPr>
      <w:sz w:val="24"/>
    </w:rPr>
  </w:style>
  <w:style w:type="character" w:styleId="a6">
    <w:name w:val="Strong"/>
    <w:basedOn w:val="a0"/>
    <w:qFormat/>
    <w:rsid w:val="00AC0D5E"/>
    <w:rPr>
      <w:b/>
    </w:rPr>
  </w:style>
  <w:style w:type="character" w:customStyle="1" w:styleId="Char">
    <w:name w:val="页眉 Char"/>
    <w:basedOn w:val="a0"/>
    <w:link w:val="a4"/>
    <w:qFormat/>
    <w:rsid w:val="00AC0D5E"/>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100</Words>
  <Characters>570</Characters>
  <Application>Microsoft Office Word</Application>
  <DocSecurity>0</DocSecurity>
  <Lines>4</Lines>
  <Paragraphs>1</Paragraphs>
  <ScaleCrop>false</ScaleCrop>
  <Company/>
  <LinksUpToDate>false</LinksUpToDate>
  <CharactersWithSpaces>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WT</dc:creator>
  <cp:lastModifiedBy>NKC-X-2018-8</cp:lastModifiedBy>
  <cp:revision>5</cp:revision>
  <cp:lastPrinted>2026-01-23T09:28:00Z</cp:lastPrinted>
  <dcterms:created xsi:type="dcterms:W3CDTF">2025-01-07T15:51:00Z</dcterms:created>
  <dcterms:modified xsi:type="dcterms:W3CDTF">2026-01-30T03:24:00Z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9A3AF4C1F62B9251FDEE6969F593D004_43</vt:lpwstr>
  </property>
  <property fmtid="{D5CDD505-2E9C-101B-9397-08002B2CF9AE}" pid="4" name="KSOTemplateDocerSaveRecord">
    <vt:lpwstr>eyJoZGlkIjoiMmU5ZDJkNTZkMTM2ZjMwMTc5OGU2MzBkYThhNjYwZTgiLCJ1c2VySWQiOiIxMDI5Mzg5NTg0In0=</vt:lpwstr>
  </property>
</Properties>
</file>