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C0EC38">
      <w:pPr>
        <w:pageBreakBefore w:val="0"/>
        <w:kinsoku w:val="0"/>
        <w:wordWrap/>
        <w:overflowPunct/>
        <w:topLinePunct w:val="0"/>
        <w:autoSpaceDE w:val="0"/>
        <w:autoSpaceDN w:val="0"/>
        <w:bidi w:val="0"/>
        <w:spacing w:line="600" w:lineRule="exact"/>
        <w:jc w:val="center"/>
        <w:textAlignment w:val="baseline"/>
        <w:rPr>
          <w:rFonts w:hint="eastAsia" w:ascii="方正小标宋简体" w:hAnsi="方正小标宋简体" w:eastAsia="方正小标宋简体" w:cs="方正小标宋简体"/>
          <w:b w:val="0"/>
          <w:bCs w:val="0"/>
          <w:snapToGrid w:val="0"/>
          <w:color w:val="000000"/>
          <w:kern w:val="0"/>
          <w:sz w:val="44"/>
          <w:szCs w:val="44"/>
          <w:lang w:val="en-US" w:eastAsia="en-US" w:bidi="ar-SA"/>
        </w:rPr>
      </w:pPr>
      <w:r>
        <w:rPr>
          <w:rFonts w:hint="eastAsia" w:ascii="方正小标宋简体" w:hAnsi="方正小标宋简体" w:eastAsia="方正小标宋简体" w:cs="方正小标宋简体"/>
          <w:b w:val="0"/>
          <w:bCs w:val="0"/>
          <w:snapToGrid w:val="0"/>
          <w:color w:val="000000"/>
          <w:kern w:val="0"/>
          <w:sz w:val="44"/>
          <w:szCs w:val="44"/>
          <w:lang w:val="en-US" w:eastAsia="en-US" w:bidi="ar-SA"/>
        </w:rPr>
        <w:t>开展重大政策和重点项目</w:t>
      </w:r>
    </w:p>
    <w:p w14:paraId="32DDEB83">
      <w:pPr>
        <w:pageBreakBefore w:val="0"/>
        <w:kinsoku w:val="0"/>
        <w:wordWrap/>
        <w:overflowPunct/>
        <w:topLinePunct w:val="0"/>
        <w:autoSpaceDE w:val="0"/>
        <w:autoSpaceDN w:val="0"/>
        <w:bidi w:val="0"/>
        <w:spacing w:line="600" w:lineRule="exact"/>
        <w:jc w:val="center"/>
        <w:textAlignment w:val="baseline"/>
        <w:rPr>
          <w:rFonts w:hint="eastAsia" w:ascii="方正小标宋简体" w:hAnsi="方正小标宋简体" w:eastAsia="方正小标宋简体" w:cs="方正小标宋简体"/>
          <w:b w:val="0"/>
          <w:bCs w:val="0"/>
          <w:snapToGrid w:val="0"/>
          <w:color w:val="000000"/>
          <w:kern w:val="0"/>
          <w:sz w:val="44"/>
          <w:szCs w:val="44"/>
          <w:lang w:val="en-US" w:eastAsia="en-US" w:bidi="ar-SA"/>
        </w:rPr>
      </w:pPr>
      <w:r>
        <w:rPr>
          <w:rFonts w:hint="eastAsia" w:ascii="方正小标宋简体" w:hAnsi="方正小标宋简体" w:eastAsia="方正小标宋简体" w:cs="方正小标宋简体"/>
          <w:b w:val="0"/>
          <w:bCs w:val="0"/>
          <w:snapToGrid w:val="0"/>
          <w:color w:val="000000"/>
          <w:kern w:val="0"/>
          <w:sz w:val="44"/>
          <w:szCs w:val="44"/>
          <w:lang w:val="en-US" w:eastAsia="en-US" w:bidi="ar-SA"/>
        </w:rPr>
        <w:t>绩效</w:t>
      </w:r>
      <w:r>
        <w:rPr>
          <w:rFonts w:hint="eastAsia" w:ascii="方正小标宋简体" w:hAnsi="方正小标宋简体" w:eastAsia="方正小标宋简体" w:cs="方正小标宋简体"/>
          <w:b w:val="0"/>
          <w:bCs w:val="0"/>
          <w:snapToGrid w:val="0"/>
          <w:color w:val="000000"/>
          <w:kern w:val="0"/>
          <w:sz w:val="44"/>
          <w:szCs w:val="44"/>
          <w:lang w:val="en-US" w:eastAsia="zh-CN" w:bidi="ar-SA"/>
        </w:rPr>
        <w:t>评估和</w:t>
      </w:r>
      <w:r>
        <w:rPr>
          <w:rFonts w:hint="eastAsia" w:ascii="方正小标宋简体" w:hAnsi="方正小标宋简体" w:eastAsia="方正小标宋简体" w:cs="方正小标宋简体"/>
          <w:b w:val="0"/>
          <w:bCs w:val="0"/>
          <w:snapToGrid w:val="0"/>
          <w:color w:val="000000"/>
          <w:kern w:val="0"/>
          <w:sz w:val="44"/>
          <w:szCs w:val="44"/>
          <w:lang w:val="en-US" w:eastAsia="en-US" w:bidi="ar-SA"/>
        </w:rPr>
        <w:t>评价情况</w:t>
      </w:r>
    </w:p>
    <w:p w14:paraId="716F09A7">
      <w:pPr>
        <w:pStyle w:val="2"/>
        <w:pageBreakBefore w:val="0"/>
        <w:kinsoku w:val="0"/>
        <w:wordWrap/>
        <w:overflowPunct/>
        <w:topLinePunct w:val="0"/>
        <w:autoSpaceDE w:val="0"/>
        <w:autoSpaceDN w:val="0"/>
        <w:bidi w:val="0"/>
        <w:spacing w:before="0" w:beforeLines="0" w:after="0" w:afterLines="0" w:line="600" w:lineRule="exact"/>
        <w:ind w:left="0" w:firstLine="640" w:firstLineChars="200"/>
        <w:jc w:val="both"/>
        <w:textAlignment w:val="baseline"/>
        <w:rPr>
          <w:rFonts w:hint="default" w:ascii="黑体" w:hAnsi="黑体" w:eastAsia="黑体" w:cs="Times New Roman"/>
          <w:b w:val="0"/>
          <w:bCs w:val="0"/>
          <w:sz w:val="32"/>
          <w:szCs w:val="32"/>
        </w:rPr>
      </w:pPr>
    </w:p>
    <w:p w14:paraId="190C0602">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rPr>
          <w:rFonts w:hint="eastAsia" w:ascii="仿宋_GB2312" w:hAnsi="仿宋_GB2312" w:eastAsia="仿宋_GB2312" w:cs="仿宋_GB2312"/>
          <w:b w:val="0"/>
          <w:bCs w:val="0"/>
          <w:snapToGrid w:val="0"/>
          <w:color w:val="000000"/>
          <w:kern w:val="0"/>
          <w:sz w:val="32"/>
          <w:szCs w:val="32"/>
          <w:lang w:val="en-US" w:eastAsia="zh-CN" w:bidi="ar-SA"/>
        </w:rPr>
      </w:pPr>
      <w:r>
        <w:rPr>
          <w:rFonts w:hint="eastAsia" w:ascii="仿宋_GB2312" w:hAnsi="仿宋_GB2312" w:eastAsia="仿宋_GB2312" w:cs="仿宋_GB2312"/>
          <w:b w:val="0"/>
          <w:bCs w:val="0"/>
          <w:snapToGrid w:val="0"/>
          <w:color w:val="000000"/>
          <w:kern w:val="0"/>
          <w:sz w:val="32"/>
          <w:szCs w:val="32"/>
          <w:lang w:val="en-US" w:eastAsia="zh-CN" w:bidi="ar-SA"/>
        </w:rPr>
        <w:t>2025年，全市开展事前绩效评估的项目16个，评估金额共计32597.89万元，压减金额4979.94万元，压减率为15.28%。其中：市本级共开展事前绩效评估的项目有6个，评估金额共计6477.94万元，涉及市林业和草原局第三次全国古树名木普查、市应急管理局防灾减灾救灾、市航空应急救援中心航空护林站配套运行及市河套学院教学科研设备更新等6个项目，以上评估结果全部运用于2026年财政预算安排中。</w:t>
      </w:r>
    </w:p>
    <w:p w14:paraId="457D1748">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rPr>
          <w:rFonts w:hint="eastAsia" w:ascii="仿宋_GB2312" w:hAnsi="仿宋_GB2312" w:eastAsia="仿宋_GB2312" w:cs="仿宋_GB2312"/>
          <w:b w:val="0"/>
          <w:bCs w:val="0"/>
          <w:snapToGrid w:val="0"/>
          <w:color w:val="000000"/>
          <w:kern w:val="0"/>
          <w:sz w:val="32"/>
          <w:szCs w:val="32"/>
          <w:lang w:val="en-US" w:eastAsia="zh-CN" w:bidi="ar-SA"/>
        </w:rPr>
      </w:pPr>
      <w:r>
        <w:rPr>
          <w:rFonts w:hint="eastAsia" w:ascii="仿宋_GB2312" w:hAnsi="仿宋_GB2312" w:eastAsia="仿宋_GB2312" w:cs="仿宋_GB2312"/>
          <w:b w:val="0"/>
          <w:bCs w:val="0"/>
          <w:snapToGrid w:val="0"/>
          <w:color w:val="000000"/>
          <w:kern w:val="0"/>
          <w:sz w:val="32"/>
          <w:szCs w:val="32"/>
          <w:lang w:val="en-US" w:eastAsia="zh-CN" w:bidi="ar-SA"/>
        </w:rPr>
        <w:t>2025年度重点绩效评价工作优先选择贯彻落实党中央、国务院重大方针政策和决策部署、自治区党委和政府工作要求，以及覆盖面广、影响力大、社会关注度高、实施期长的项目，2025年度全市共计重点评价101个项目，涉及项目资金26.26亿元。</w:t>
      </w:r>
      <w:r>
        <w:rPr>
          <w:rFonts w:hint="eastAsia" w:ascii="仿宋_GB2312" w:hAnsi="仿宋_GB2312" w:eastAsia="仿宋_GB2312" w:cs="仿宋_GB2312"/>
          <w:b w:val="0"/>
          <w:bCs w:val="0"/>
          <w:snapToGrid w:val="0"/>
          <w:color w:val="000000"/>
          <w:kern w:val="0"/>
          <w:sz w:val="32"/>
          <w:szCs w:val="32"/>
          <w:lang w:val="en" w:eastAsia="zh-CN" w:bidi="ar-SA"/>
        </w:rPr>
        <w:t>评价类型覆盖“四本预算”及部门整体支出、</w:t>
      </w:r>
      <w:r>
        <w:rPr>
          <w:rFonts w:hint="eastAsia" w:ascii="仿宋_GB2312" w:hAnsi="仿宋_GB2312" w:eastAsia="仿宋_GB2312" w:cs="仿宋_GB2312"/>
          <w:b w:val="0"/>
          <w:bCs w:val="0"/>
          <w:snapToGrid w:val="0"/>
          <w:color w:val="000000"/>
          <w:kern w:val="0"/>
          <w:sz w:val="32"/>
          <w:szCs w:val="32"/>
          <w:lang w:val="en-US" w:eastAsia="zh-CN" w:bidi="ar-SA"/>
        </w:rPr>
        <w:t>政府投资基金</w:t>
      </w:r>
      <w:r>
        <w:rPr>
          <w:rFonts w:hint="eastAsia" w:ascii="仿宋_GB2312" w:hAnsi="仿宋_GB2312" w:eastAsia="仿宋_GB2312" w:cs="仿宋_GB2312"/>
          <w:b w:val="0"/>
          <w:bCs w:val="0"/>
          <w:snapToGrid w:val="0"/>
          <w:color w:val="000000"/>
          <w:kern w:val="0"/>
          <w:sz w:val="32"/>
          <w:szCs w:val="32"/>
          <w:lang w:val="en" w:eastAsia="zh-CN" w:bidi="ar-SA"/>
        </w:rPr>
        <w:t>、政府采购、</w:t>
      </w:r>
      <w:r>
        <w:rPr>
          <w:rFonts w:hint="eastAsia" w:ascii="仿宋_GB2312" w:hAnsi="仿宋_GB2312" w:eastAsia="仿宋_GB2312" w:cs="仿宋_GB2312"/>
          <w:b w:val="0"/>
          <w:bCs w:val="0"/>
          <w:snapToGrid w:val="0"/>
          <w:color w:val="000000"/>
          <w:kern w:val="0"/>
          <w:sz w:val="32"/>
          <w:szCs w:val="32"/>
          <w:lang w:val="en-US" w:eastAsia="zh-CN" w:bidi="ar-SA"/>
        </w:rPr>
        <w:t>下级财政运行</w:t>
      </w:r>
      <w:r>
        <w:rPr>
          <w:rFonts w:hint="eastAsia" w:ascii="仿宋_GB2312" w:hAnsi="仿宋_GB2312" w:eastAsia="仿宋_GB2312" w:cs="仿宋_GB2312"/>
          <w:b w:val="0"/>
          <w:bCs w:val="0"/>
          <w:snapToGrid w:val="0"/>
          <w:color w:val="000000"/>
          <w:kern w:val="0"/>
          <w:sz w:val="32"/>
          <w:szCs w:val="32"/>
          <w:lang w:val="en" w:eastAsia="zh-CN" w:bidi="ar-SA"/>
        </w:rPr>
        <w:t>等方面。</w:t>
      </w:r>
      <w:r>
        <w:rPr>
          <w:rFonts w:hint="eastAsia" w:ascii="仿宋_GB2312" w:hAnsi="仿宋_GB2312" w:eastAsia="仿宋_GB2312" w:cs="仿宋_GB2312"/>
          <w:b w:val="0"/>
          <w:bCs w:val="0"/>
          <w:snapToGrid w:val="0"/>
          <w:color w:val="000000"/>
          <w:kern w:val="0"/>
          <w:sz w:val="32"/>
          <w:szCs w:val="32"/>
          <w:lang w:val="en-US" w:eastAsia="zh-CN" w:bidi="ar-SA"/>
        </w:rPr>
        <w:t>根据绩效评价结果压减资金126.85万元</w:t>
      </w:r>
      <w:bookmarkStart w:id="0" w:name="_GoBack"/>
      <w:bookmarkEnd w:id="0"/>
      <w:r>
        <w:rPr>
          <w:rFonts w:hint="eastAsia" w:ascii="仿宋_GB2312" w:hAnsi="仿宋_GB2312" w:eastAsia="仿宋_GB2312" w:cs="仿宋_GB2312"/>
          <w:b w:val="0"/>
          <w:bCs w:val="0"/>
          <w:snapToGrid w:val="0"/>
          <w:color w:val="000000"/>
          <w:kern w:val="0"/>
          <w:sz w:val="32"/>
          <w:szCs w:val="32"/>
          <w:lang w:val="en-US" w:eastAsia="zh-CN" w:bidi="ar-SA"/>
        </w:rPr>
        <w:t>。</w:t>
      </w:r>
    </w:p>
    <w:p w14:paraId="0ED5B21D">
      <w:pPr>
        <w:pageBreakBefore w:val="0"/>
        <w:kinsoku w:val="0"/>
        <w:wordWrap/>
        <w:overflowPunct/>
        <w:topLinePunct w:val="0"/>
        <w:autoSpaceDE w:val="0"/>
        <w:autoSpaceDN w:val="0"/>
        <w:bidi w:val="0"/>
        <w:spacing w:line="600" w:lineRule="exact"/>
        <w:ind w:firstLine="540" w:firstLineChars="200"/>
        <w:jc w:val="both"/>
        <w:textAlignment w:val="baseline"/>
        <w:rPr>
          <w:rFonts w:ascii="Helvetica" w:hAnsi="Helvetica" w:eastAsia="Helvetica" w:cs="Helvetica"/>
          <w:i w:val="0"/>
          <w:iCs w:val="0"/>
          <w:caps w:val="0"/>
          <w:color w:val="111111"/>
          <w:spacing w:val="0"/>
          <w:sz w:val="27"/>
          <w:szCs w:val="27"/>
          <w:shd w:val="clear" w:fill="FFFFFF"/>
        </w:rPr>
      </w:pPr>
    </w:p>
    <w:p w14:paraId="6926B66C">
      <w:pPr>
        <w:pageBreakBefore w:val="0"/>
        <w:kinsoku w:val="0"/>
        <w:wordWrap/>
        <w:overflowPunct/>
        <w:topLinePunct w:val="0"/>
        <w:autoSpaceDE w:val="0"/>
        <w:autoSpaceDN w:val="0"/>
        <w:bidi w:val="0"/>
        <w:spacing w:line="600" w:lineRule="exact"/>
        <w:ind w:firstLine="540" w:firstLineChars="200"/>
        <w:jc w:val="both"/>
        <w:textAlignment w:val="baseline"/>
        <w:rPr>
          <w:rFonts w:ascii="Helvetica" w:hAnsi="Helvetica" w:eastAsia="Helvetica" w:cs="Helvetica"/>
          <w:i w:val="0"/>
          <w:iCs w:val="0"/>
          <w:caps w:val="0"/>
          <w:color w:val="111111"/>
          <w:spacing w:val="0"/>
          <w:sz w:val="27"/>
          <w:szCs w:val="27"/>
          <w:shd w:val="clear" w:fill="FFFFFF"/>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0AFF" w:usb1="00007843" w:usb2="00000001" w:usb3="00000000" w:csb0="400001BF" w:csb1="DFF7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Helvetica">
    <w:altName w:val="Arial"/>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cyNjdlMzYzNmMxNTk4YzViY2MyODZhMzM5NDNjMTQifQ=="/>
  </w:docVars>
  <w:rsids>
    <w:rsidRoot w:val="0D0760AF"/>
    <w:rsid w:val="01BD3335"/>
    <w:rsid w:val="0A501179"/>
    <w:rsid w:val="0D0760AF"/>
    <w:rsid w:val="0E74786D"/>
    <w:rsid w:val="18E4609D"/>
    <w:rsid w:val="1AF82718"/>
    <w:rsid w:val="27377365"/>
    <w:rsid w:val="2B0C70C5"/>
    <w:rsid w:val="36AE373B"/>
    <w:rsid w:val="4E651922"/>
    <w:rsid w:val="55A44D32"/>
    <w:rsid w:val="5D7F74E7"/>
    <w:rsid w:val="6B2613FC"/>
    <w:rsid w:val="6B3D57E1"/>
    <w:rsid w:val="6C63429C"/>
    <w:rsid w:val="723B3782"/>
    <w:rsid w:val="76D77E65"/>
    <w:rsid w:val="78787643"/>
    <w:rsid w:val="7A7539FD"/>
    <w:rsid w:val="8FBFF0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仿宋_GB2312" w:cs="Arial"/>
      <w:snapToGrid w:val="0"/>
      <w:color w:val="000000"/>
      <w:kern w:val="0"/>
      <w:sz w:val="32"/>
      <w:szCs w:val="21"/>
      <w:lang w:val="en-US" w:eastAsia="en-US" w:bidi="ar-SA"/>
    </w:rPr>
  </w:style>
  <w:style w:type="paragraph" w:styleId="2">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Arial" w:hAnsi="Arial" w:eastAsia="仿宋_GB231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after="120" w:afterLines="0" w:afterAutospacing="0"/>
    </w:pPr>
  </w:style>
  <w:style w:type="paragraph" w:styleId="4">
    <w:name w:val="Body Text Indent"/>
    <w:basedOn w:val="1"/>
    <w:qFormat/>
    <w:uiPriority w:val="0"/>
    <w:pPr>
      <w:spacing w:after="120" w:afterLines="0" w:afterAutospacing="0"/>
      <w:ind w:left="420" w:leftChars="200"/>
    </w:pPr>
  </w:style>
  <w:style w:type="paragraph" w:styleId="5">
    <w:name w:val="Normal (Web)"/>
    <w:basedOn w:val="1"/>
    <w:qFormat/>
    <w:uiPriority w:val="0"/>
    <w:pPr>
      <w:spacing w:before="100" w:beforeAutospacing="1" w:after="100" w:afterAutospacing="1"/>
      <w:ind w:left="0" w:right="0"/>
      <w:jc w:val="left"/>
    </w:pPr>
    <w:rPr>
      <w:rFonts w:ascii="Calibri" w:hAnsi="Calibri" w:eastAsia="宋体" w:cs="Times New Roman"/>
      <w:kern w:val="0"/>
      <w:sz w:val="24"/>
      <w:szCs w:val="24"/>
      <w:lang w:val="en-US" w:eastAsia="zh-CN" w:bidi="ar"/>
    </w:rPr>
  </w:style>
  <w:style w:type="paragraph" w:styleId="6">
    <w:name w:val="Body Text First Indent 2"/>
    <w:basedOn w:val="4"/>
    <w:qFormat/>
    <w:uiPriority w:val="0"/>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365</Words>
  <Characters>411</Characters>
  <Lines>0</Lines>
  <Paragraphs>0</Paragraphs>
  <TotalTime>17</TotalTime>
  <ScaleCrop>false</ScaleCrop>
  <LinksUpToDate>false</LinksUpToDate>
  <CharactersWithSpaces>411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2024-07-11T15:46:00Z</dcterms:created>
  <dc:creator>lz</dc:creator>
  <cp:lastModifiedBy>小崔</cp:lastModifiedBy>
  <cp:lastPrinted>2024-07-11T17:26:00Z</cp:lastPrinted>
  <dcterms:modified xsi:type="dcterms:W3CDTF">2026-08-26T09:03:05Z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65D537C29E96D2A4099E8E6AAD6C547C_43</vt:lpwstr>
  </property>
  <property fmtid="{D5CDD505-2E9C-101B-9397-08002B2CF9AE}" pid="4" name="KSOTemplateDocerSaveRecord">
    <vt:lpwstr>eyJoZGlkIjoiMmU5ZDJkNTZkMTM2ZjMwMTc5OGU2MzBkYThhNjYwZTgiLCJ1c2VySWQiOiIxMDI5Mzg5NTg0In0=</vt:lpwstr>
  </property>
</Properties>
</file>