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9FC062">
      <w:pPr>
        <w:jc w:val="center"/>
        <w:outlineLvl w:val="0"/>
        <w:rPr>
          <w:rFonts w:hint="default"/>
          <w:sz w:val="44"/>
          <w:szCs w:val="44"/>
          <w:lang w:val="en-US" w:eastAsia="zh-CN"/>
        </w:rPr>
      </w:pPr>
      <w:r>
        <w:rPr>
          <w:rFonts w:hint="default"/>
          <w:sz w:val="44"/>
          <w:szCs w:val="44"/>
          <w:lang w:val="en-US" w:eastAsia="zh-CN"/>
        </w:rPr>
        <w:t>巴彦淖尔市202</w:t>
      </w:r>
      <w:r>
        <w:rPr>
          <w:rFonts w:hint="eastAsia"/>
          <w:sz w:val="44"/>
          <w:szCs w:val="44"/>
          <w:lang w:val="en-US" w:eastAsia="zh-CN"/>
        </w:rPr>
        <w:t>5</w:t>
      </w:r>
      <w:r>
        <w:rPr>
          <w:rFonts w:hint="default"/>
          <w:sz w:val="44"/>
          <w:szCs w:val="44"/>
          <w:lang w:val="en-US" w:eastAsia="zh-CN"/>
        </w:rPr>
        <w:t>年度绩效评价</w:t>
      </w:r>
    </w:p>
    <w:p w14:paraId="46797879">
      <w:pPr>
        <w:jc w:val="center"/>
        <w:outlineLvl w:val="0"/>
        <w:rPr>
          <w:rFonts w:hint="default"/>
          <w:lang w:val="en-US" w:eastAsia="zh-CN"/>
        </w:rPr>
      </w:pPr>
      <w:r>
        <w:rPr>
          <w:rFonts w:hint="default"/>
          <w:sz w:val="44"/>
          <w:szCs w:val="44"/>
          <w:lang w:val="en-US" w:eastAsia="zh-CN"/>
        </w:rPr>
        <w:t>工作</w:t>
      </w:r>
      <w:r>
        <w:rPr>
          <w:rFonts w:hint="eastAsia"/>
          <w:sz w:val="44"/>
          <w:szCs w:val="44"/>
          <w:lang w:val="en-US" w:eastAsia="zh-CN"/>
        </w:rPr>
        <w:t>情况</w:t>
      </w:r>
    </w:p>
    <w:p w14:paraId="0864169D">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一、加强预算绩效管理制度建设</w:t>
      </w:r>
    </w:p>
    <w:p w14:paraId="256A677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 2025年，</w:t>
      </w:r>
      <w:r>
        <w:rPr>
          <w:rFonts w:hint="eastAsia" w:ascii="仿宋_GB2312" w:hAnsi="仿宋_GB2312" w:eastAsia="仿宋_GB2312" w:cs="仿宋_GB2312"/>
          <w:sz w:val="32"/>
          <w:szCs w:val="32"/>
          <w:lang w:val="en-US" w:eastAsia="zh-CN"/>
        </w:rPr>
        <w:t>《巴彦淖尔市本级年度新增重大决策、项目事前绩效评估工作指南（试行）》作为市本级深化零基预算改革其中一项配套指南的印发施行，进一步</w:t>
      </w:r>
      <w:r>
        <w:rPr>
          <w:rFonts w:hint="default" w:ascii="仿宋_GB2312" w:hAnsi="仿宋_GB2312" w:eastAsia="仿宋_GB2312" w:cs="仿宋_GB2312"/>
          <w:sz w:val="32"/>
          <w:szCs w:val="32"/>
          <w:lang w:val="en-US" w:eastAsia="zh-CN"/>
        </w:rPr>
        <w:t>将</w:t>
      </w:r>
      <w:r>
        <w:rPr>
          <w:rFonts w:hint="eastAsia" w:ascii="仿宋_GB2312" w:hAnsi="仿宋_GB2312" w:eastAsia="仿宋_GB2312" w:cs="仿宋_GB2312"/>
          <w:sz w:val="32"/>
          <w:szCs w:val="32"/>
          <w:lang w:val="en-US" w:eastAsia="zh-CN"/>
        </w:rPr>
        <w:t>《内蒙古自治区预算绩效管理条例》</w:t>
      </w:r>
      <w:r>
        <w:rPr>
          <w:rFonts w:hint="default" w:ascii="仿宋_GB2312" w:hAnsi="仿宋_GB2312" w:eastAsia="仿宋_GB2312" w:cs="仿宋_GB2312"/>
          <w:sz w:val="32"/>
          <w:szCs w:val="32"/>
          <w:lang w:val="en-US" w:eastAsia="zh-CN"/>
        </w:rPr>
        <w:t>精神贯穿于预算编制、执行、监督</w:t>
      </w:r>
      <w:r>
        <w:rPr>
          <w:rFonts w:hint="eastAsia" w:ascii="仿宋_GB2312" w:hAnsi="仿宋_GB2312" w:eastAsia="仿宋_GB2312" w:cs="仿宋_GB2312"/>
          <w:sz w:val="32"/>
          <w:szCs w:val="32"/>
          <w:lang w:val="en-US" w:eastAsia="zh-CN"/>
        </w:rPr>
        <w:t>的</w:t>
      </w:r>
      <w:r>
        <w:rPr>
          <w:rFonts w:hint="default" w:ascii="仿宋_GB2312" w:hAnsi="仿宋_GB2312" w:eastAsia="仿宋_GB2312" w:cs="仿宋_GB2312"/>
          <w:sz w:val="32"/>
          <w:szCs w:val="32"/>
          <w:lang w:val="en-US" w:eastAsia="zh-CN"/>
        </w:rPr>
        <w:t>全过程</w:t>
      </w:r>
      <w:r>
        <w:rPr>
          <w:rFonts w:hint="eastAsia" w:ascii="仿宋_GB2312" w:hAnsi="仿宋_GB2312" w:eastAsia="仿宋_GB2312" w:cs="仿宋_GB2312"/>
          <w:sz w:val="32"/>
          <w:szCs w:val="32"/>
          <w:lang w:val="en-US" w:eastAsia="zh-CN"/>
        </w:rPr>
        <w:t>。</w:t>
      </w:r>
    </w:p>
    <w:p w14:paraId="30A05B46">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二、加强指标标准体系建设</w:t>
      </w:r>
    </w:p>
    <w:p w14:paraId="6B92F6D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在现有绩效指标体系基础上，不断更新完善指标和标准体系建设工作，同时指导各旗县区按照所属地区预算部门情况更新完善相应的指标体系。</w:t>
      </w:r>
    </w:p>
    <w:p w14:paraId="6991E837">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积极参与自治区财政厅就市交通局和生态环境局等单位的政府购买服务财政重点评价指标体系建设</w:t>
      </w:r>
      <w:r>
        <w:rPr>
          <w:rFonts w:hint="eastAsia" w:ascii="方正仿宋_GB2312" w:hAnsi="方正仿宋_GB2312" w:eastAsia="方正仿宋_GB2312" w:cs="方正仿宋_GB2312"/>
          <w:i w:val="0"/>
          <w:iCs w:val="0"/>
          <w:caps w:val="0"/>
          <w:color w:val="0F1115"/>
          <w:spacing w:val="0"/>
          <w:sz w:val="32"/>
          <w:szCs w:val="32"/>
          <w:shd w:val="clear" w:fill="FFFFFF"/>
        </w:rPr>
        <w:t>。</w:t>
      </w:r>
    </w:p>
    <w:p w14:paraId="2E9B7578">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三、加强交流培训及信息化建设</w:t>
      </w:r>
    </w:p>
    <w:p w14:paraId="5142E96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i w:val="0"/>
          <w:iCs w:val="0"/>
          <w:caps w:val="0"/>
          <w:color w:val="0F1115"/>
          <w:spacing w:val="0"/>
          <w:kern w:val="2"/>
          <w:sz w:val="32"/>
          <w:szCs w:val="32"/>
          <w:shd w:val="clear" w:fill="FFFFFF"/>
          <w:lang w:val="en-US" w:eastAsia="zh-CN" w:bidi="ar-SA"/>
        </w:rPr>
      </w:pPr>
      <w:r>
        <w:rPr>
          <w:rFonts w:hint="eastAsia" w:ascii="方正仿宋_GB2312" w:hAnsi="方正仿宋_GB2312" w:eastAsia="方正仿宋_GB2312" w:cs="方正仿宋_GB2312"/>
          <w:b/>
          <w:bCs/>
          <w:i w:val="0"/>
          <w:iCs w:val="0"/>
          <w:caps w:val="0"/>
          <w:color w:val="0F1115"/>
          <w:spacing w:val="0"/>
          <w:kern w:val="2"/>
          <w:sz w:val="32"/>
          <w:szCs w:val="32"/>
          <w:shd w:val="clear" w:fill="FFFFFF"/>
          <w:lang w:val="en-US" w:eastAsia="zh-CN" w:bidi="ar-SA"/>
        </w:rPr>
        <w:t>一是</w:t>
      </w:r>
      <w:r>
        <w:rPr>
          <w:rFonts w:hint="eastAsia" w:ascii="方正仿宋_GB2312" w:hAnsi="方正仿宋_GB2312" w:eastAsia="方正仿宋_GB2312" w:cs="方正仿宋_GB2312"/>
          <w:i w:val="0"/>
          <w:iCs w:val="0"/>
          <w:caps w:val="0"/>
          <w:color w:val="0F1115"/>
          <w:spacing w:val="0"/>
          <w:kern w:val="2"/>
          <w:sz w:val="32"/>
          <w:szCs w:val="32"/>
          <w:shd w:val="clear" w:fill="FFFFFF"/>
          <w:lang w:val="en-US" w:eastAsia="zh-CN" w:bidi="ar-SA"/>
        </w:rPr>
        <w:t>积极组织旗县区财政局绩效管理人员参加自治区举办的绩效业务培训，通过上级部门专业指导，提升基层绩效管理队伍的业务能力和政策水平。</w:t>
      </w:r>
    </w:p>
    <w:p w14:paraId="5A5CEF62">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i w:val="0"/>
          <w:iCs w:val="0"/>
          <w:caps w:val="0"/>
          <w:color w:val="0F1115"/>
          <w:spacing w:val="0"/>
          <w:kern w:val="2"/>
          <w:sz w:val="32"/>
          <w:szCs w:val="32"/>
          <w:shd w:val="clear" w:fill="FFFFFF"/>
          <w:lang w:val="en-US" w:eastAsia="zh-CN" w:bidi="ar-SA"/>
        </w:rPr>
      </w:pPr>
      <w:r>
        <w:rPr>
          <w:rFonts w:hint="eastAsia" w:ascii="方正仿宋_GB2312" w:hAnsi="方正仿宋_GB2312" w:eastAsia="方正仿宋_GB2312" w:cs="方正仿宋_GB2312"/>
          <w:b/>
          <w:bCs/>
          <w:i w:val="0"/>
          <w:iCs w:val="0"/>
          <w:caps w:val="0"/>
          <w:color w:val="0F1115"/>
          <w:spacing w:val="0"/>
          <w:kern w:val="2"/>
          <w:sz w:val="32"/>
          <w:szCs w:val="32"/>
          <w:shd w:val="clear" w:fill="FFFFFF"/>
          <w:lang w:val="en-US" w:eastAsia="zh-CN" w:bidi="ar-SA"/>
        </w:rPr>
        <w:t>二是</w:t>
      </w:r>
      <w:r>
        <w:rPr>
          <w:rFonts w:hint="eastAsia" w:ascii="方正仿宋_GB2312" w:hAnsi="方正仿宋_GB2312" w:eastAsia="方正仿宋_GB2312" w:cs="方正仿宋_GB2312"/>
          <w:i w:val="0"/>
          <w:iCs w:val="0"/>
          <w:caps w:val="0"/>
          <w:color w:val="0F1115"/>
          <w:spacing w:val="0"/>
          <w:kern w:val="2"/>
          <w:sz w:val="32"/>
          <w:szCs w:val="32"/>
          <w:shd w:val="clear" w:fill="FFFFFF"/>
          <w:lang w:val="en-US" w:eastAsia="zh-CN" w:bidi="ar-SA"/>
        </w:rPr>
        <w:t>依托“财政大讲堂”平台，专题宣讲《内蒙古自治区预算绩效管理条例》，推动条例精神在全市财政系统入脑入心、落地见效。</w:t>
      </w:r>
    </w:p>
    <w:p w14:paraId="3DEF8894">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方正仿宋_GB2312" w:hAnsi="方正仿宋_GB2312" w:eastAsia="方正仿宋_GB2312" w:cs="方正仿宋_GB2312"/>
          <w:i w:val="0"/>
          <w:iCs w:val="0"/>
          <w:caps w:val="0"/>
          <w:color w:val="0F1115"/>
          <w:spacing w:val="0"/>
          <w:kern w:val="2"/>
          <w:sz w:val="32"/>
          <w:szCs w:val="32"/>
          <w:shd w:val="clear" w:fill="FFFFFF"/>
          <w:lang w:val="en-US" w:eastAsia="zh-CN" w:bidi="ar-SA"/>
        </w:rPr>
      </w:pPr>
      <w:r>
        <w:rPr>
          <w:rFonts w:hint="eastAsia" w:ascii="方正仿宋_GB2312" w:hAnsi="方正仿宋_GB2312" w:eastAsia="方正仿宋_GB2312" w:cs="方正仿宋_GB2312"/>
          <w:b/>
          <w:bCs/>
          <w:i w:val="0"/>
          <w:iCs w:val="0"/>
          <w:caps w:val="0"/>
          <w:color w:val="0F1115"/>
          <w:spacing w:val="0"/>
          <w:kern w:val="2"/>
          <w:sz w:val="32"/>
          <w:szCs w:val="32"/>
          <w:shd w:val="clear" w:fill="FFFFFF"/>
          <w:lang w:val="en-US" w:eastAsia="zh-CN" w:bidi="ar-SA"/>
        </w:rPr>
        <w:t>三是</w:t>
      </w:r>
      <w:r>
        <w:rPr>
          <w:rFonts w:hint="eastAsia" w:ascii="方正仿宋_GB2312" w:hAnsi="方正仿宋_GB2312" w:eastAsia="方正仿宋_GB2312" w:cs="方正仿宋_GB2312"/>
          <w:i w:val="0"/>
          <w:iCs w:val="0"/>
          <w:caps w:val="0"/>
          <w:color w:val="0F1115"/>
          <w:spacing w:val="0"/>
          <w:kern w:val="2"/>
          <w:sz w:val="32"/>
          <w:szCs w:val="32"/>
          <w:shd w:val="clear" w:fill="FFFFFF"/>
          <w:lang w:val="en-US" w:eastAsia="zh-CN" w:bidi="ar-SA"/>
        </w:rPr>
        <w:t>在2026年预算编制培训会上，对市本级预算单位开展绩效业务培训，重点讲解绩效目标编制、绩效监控、绩效评价等实操要点，切实提高预算单位的绩效管理意识和操作能力。同时，持续完善“预算管理一体化系统”绩效管理模块功能应用，利用信息化手段提升绩效管理效率和规范化水平。</w:t>
      </w:r>
    </w:p>
    <w:p w14:paraId="639226B7">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四、建立全过程绩效管理链条</w:t>
      </w:r>
    </w:p>
    <w:p w14:paraId="1161721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积极探索，建立事前评估机制。对新增项目和重大项目开展事前绩效评估，</w:t>
      </w:r>
      <w:r>
        <w:rPr>
          <w:rFonts w:hint="eastAsia" w:ascii="方正仿宋_GB2312" w:hAnsi="方正仿宋_GB2312" w:eastAsia="方正仿宋_GB2312" w:cs="方正仿宋_GB2312"/>
          <w:i w:val="0"/>
          <w:iCs w:val="0"/>
          <w:caps w:val="0"/>
          <w:color w:val="0F1115"/>
          <w:spacing w:val="0"/>
          <w:sz w:val="32"/>
          <w:szCs w:val="32"/>
          <w:shd w:val="clear" w:fill="FFFFFF"/>
        </w:rPr>
        <w:t>202</w:t>
      </w:r>
      <w:r>
        <w:rPr>
          <w:rFonts w:hint="eastAsia" w:ascii="方正仿宋_GB2312" w:hAnsi="方正仿宋_GB2312" w:eastAsia="方正仿宋_GB2312" w:cs="方正仿宋_GB2312"/>
          <w:i w:val="0"/>
          <w:iCs w:val="0"/>
          <w:caps w:val="0"/>
          <w:color w:val="0F1115"/>
          <w:spacing w:val="0"/>
          <w:sz w:val="32"/>
          <w:szCs w:val="32"/>
          <w:shd w:val="clear" w:fill="FFFFFF"/>
          <w:lang w:val="en-US" w:eastAsia="zh-CN"/>
        </w:rPr>
        <w:t>5</w:t>
      </w:r>
      <w:r>
        <w:rPr>
          <w:rFonts w:hint="eastAsia" w:ascii="方正仿宋_GB2312" w:hAnsi="方正仿宋_GB2312" w:eastAsia="方正仿宋_GB2312" w:cs="方正仿宋_GB2312"/>
          <w:i w:val="0"/>
          <w:iCs w:val="0"/>
          <w:caps w:val="0"/>
          <w:color w:val="0F1115"/>
          <w:spacing w:val="0"/>
          <w:sz w:val="32"/>
          <w:szCs w:val="32"/>
          <w:shd w:val="clear" w:fill="FFFFFF"/>
        </w:rPr>
        <w:t>年</w:t>
      </w:r>
      <w:r>
        <w:rPr>
          <w:rFonts w:hint="eastAsia" w:ascii="仿宋_GB2312" w:hAnsi="仿宋_GB2312" w:eastAsia="仿宋_GB2312" w:cs="仿宋_GB2312"/>
          <w:b w:val="0"/>
          <w:bCs w:val="0"/>
          <w:snapToGrid w:val="0"/>
          <w:color w:val="000000"/>
          <w:kern w:val="0"/>
          <w:sz w:val="32"/>
          <w:szCs w:val="32"/>
          <w:lang w:val="en-US" w:eastAsia="zh-CN" w:bidi="ar-SA"/>
        </w:rPr>
        <w:t>全市开展事前绩效评估的项目16个，评估金额共计32597.89万元，压减金额4979.94万元，压减率为15.28%。其中：市本级共开展事前绩效评估的项目有6个，评估金额共计6477.94万元，涉及市林业和草原局第三次全国古树名木普查、市应急管理局防灾减灾救灾、市航空应急救援中心航空护林站配套运行及市河套学院教学科研设备更新等6个项目，以上评估结果全部运用于2026年财政预算安排中。</w:t>
      </w:r>
      <w:r>
        <w:rPr>
          <w:rFonts w:hint="eastAsia" w:ascii="方正仿宋_GB2312" w:hAnsi="方正仿宋_GB2312" w:eastAsia="方正仿宋_GB2312" w:cs="方正仿宋_GB2312"/>
          <w:i w:val="0"/>
          <w:iCs w:val="0"/>
          <w:caps w:val="0"/>
          <w:color w:val="0F1115"/>
          <w:spacing w:val="0"/>
          <w:sz w:val="32"/>
          <w:szCs w:val="32"/>
          <w:shd w:val="clear" w:fill="FFFFFF"/>
        </w:rPr>
        <w:t>此项工作的深入开展，有效遏制了部分项目盲目申报、预算虚高的现象，将绩效理念深度融入预算决策环节，为优化2026年财政支出结构、提升预算安排质量奠定了坚实基础。</w:t>
      </w:r>
    </w:p>
    <w:p w14:paraId="03B882C0">
      <w:pPr>
        <w:pStyle w:val="4"/>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60" w:lineRule="exact"/>
        <w:ind w:left="0" w:leftChars="0" w:right="0" w:rightChars="0" w:firstLine="643" w:firstLineChars="200"/>
        <w:textAlignment w:val="auto"/>
        <w:rPr>
          <w:rFonts w:hint="eastAsia" w:ascii="方正仿宋_GB2312" w:hAnsi="方正仿宋_GB2312" w:eastAsia="方正仿宋_GB2312" w:cs="方正仿宋_GB2312"/>
          <w:i w:val="0"/>
          <w:iCs w:val="0"/>
          <w:caps w:val="0"/>
          <w:color w:val="0F1115"/>
          <w:spacing w:val="0"/>
          <w:sz w:val="32"/>
          <w:szCs w:val="32"/>
        </w:rPr>
      </w:pP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精心组织，抓好绩效目标管理。按照“谁申请资金、谁编制目标”的原则，对全市所有单位预算资金审核绩效目标，其中：市本级</w:t>
      </w:r>
      <w:r>
        <w:rPr>
          <w:rFonts w:hint="eastAsia" w:ascii="方正仿宋_GB2312" w:hAnsi="方正仿宋_GB2312" w:eastAsia="方正仿宋_GB2312" w:cs="方正仿宋_GB2312"/>
          <w:i w:val="0"/>
          <w:iCs w:val="0"/>
          <w:caps w:val="0"/>
          <w:color w:val="0F1115"/>
          <w:spacing w:val="0"/>
          <w:sz w:val="32"/>
          <w:szCs w:val="32"/>
          <w:highlight w:val="none"/>
          <w:shd w:val="clear" w:fill="FFFFFF"/>
          <w:lang w:eastAsia="zh-CN"/>
        </w:rPr>
        <w:t>完成</w:t>
      </w:r>
      <w:r>
        <w:rPr>
          <w:rFonts w:hint="eastAsia" w:ascii="方正仿宋_GB2312" w:hAnsi="方正仿宋_GB2312" w:eastAsia="方正仿宋_GB2312" w:cs="方正仿宋_GB2312"/>
          <w:i w:val="0"/>
          <w:iCs w:val="0"/>
          <w:caps w:val="0"/>
          <w:color w:val="0F1115"/>
          <w:spacing w:val="0"/>
          <w:sz w:val="32"/>
          <w:szCs w:val="32"/>
          <w:highlight w:val="none"/>
          <w:shd w:val="clear" w:fill="FFFFFF"/>
          <w:lang w:val="en-US" w:eastAsia="zh-CN"/>
        </w:rPr>
        <w:t>2026年2059个预算项目的审核工作，涉及资金217.05亿元，劲儿</w:t>
      </w:r>
      <w:r>
        <w:rPr>
          <w:rFonts w:hint="eastAsia" w:ascii="方正仿宋_GB2312" w:hAnsi="方正仿宋_GB2312" w:eastAsia="方正仿宋_GB2312" w:cs="方正仿宋_GB2312"/>
          <w:i w:val="0"/>
          <w:iCs w:val="0"/>
          <w:caps w:val="0"/>
          <w:color w:val="0F1115"/>
          <w:spacing w:val="0"/>
          <w:sz w:val="32"/>
          <w:szCs w:val="32"/>
          <w:highlight w:val="none"/>
          <w:shd w:val="clear" w:fill="FFFFFF"/>
        </w:rPr>
        <w:t>推动绩效目标从“有形”向“有效”转变，确保预算资金指向明确、预期效益清晰，提升了预算编制的精细化、科学化水平。</w:t>
      </w:r>
    </w:p>
    <w:p w14:paraId="35DDE9FF">
      <w:pPr>
        <w:pStyle w:val="4"/>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60" w:lineRule="exact"/>
        <w:ind w:right="0" w:rightChars="0" w:firstLine="643" w:firstLineChars="200"/>
        <w:textAlignment w:val="auto"/>
        <w:rPr>
          <w:rFonts w:hint="eastAsia" w:ascii="方正仿宋_GB2312" w:hAnsi="方正仿宋_GB2312" w:eastAsia="方正仿宋_GB2312" w:cs="方正仿宋_GB2312"/>
          <w:i w:val="0"/>
          <w:iCs w:val="0"/>
          <w:caps w:val="0"/>
          <w:color w:val="0F1115"/>
          <w:spacing w:val="0"/>
          <w:sz w:val="32"/>
          <w:szCs w:val="32"/>
        </w:rPr>
      </w:pP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注重过程，开展绩效监控管理。</w:t>
      </w:r>
      <w:r>
        <w:rPr>
          <w:rFonts w:hint="eastAsia" w:ascii="方正仿宋_GB2312" w:hAnsi="方正仿宋_GB2312" w:eastAsia="方正仿宋_GB2312" w:cs="方正仿宋_GB2312"/>
          <w:i w:val="0"/>
          <w:iCs w:val="0"/>
          <w:caps w:val="0"/>
          <w:color w:val="0F1115"/>
          <w:spacing w:val="0"/>
          <w:sz w:val="32"/>
          <w:szCs w:val="32"/>
          <w:shd w:val="clear" w:fill="FFFFFF"/>
        </w:rPr>
        <w:t>建立健全“日常监控+重点监控”相结合的预算执行绩效监控机制。依托预算管理一体化系统，对预算执行进度和绩效目标实现程度进行“双监控”</w:t>
      </w:r>
      <w:r>
        <w:rPr>
          <w:rFonts w:hint="eastAsia" w:ascii="方正仿宋_GB2312" w:hAnsi="方正仿宋_GB2312" w:eastAsia="方正仿宋_GB2312" w:cs="方正仿宋_GB2312"/>
          <w:i w:val="0"/>
          <w:iCs w:val="0"/>
          <w:caps w:val="0"/>
          <w:color w:val="0F1115"/>
          <w:spacing w:val="0"/>
          <w:sz w:val="32"/>
          <w:szCs w:val="32"/>
          <w:highlight w:val="none"/>
          <w:shd w:val="clear" w:fill="FFFFFF"/>
          <w:lang w:eastAsia="zh-CN"/>
        </w:rPr>
        <w:t>，共对</w:t>
      </w:r>
      <w:r>
        <w:rPr>
          <w:rFonts w:hint="eastAsia" w:ascii="方正仿宋_GB2312" w:hAnsi="方正仿宋_GB2312" w:eastAsia="方正仿宋_GB2312" w:cs="方正仿宋_GB2312"/>
          <w:i w:val="0"/>
          <w:iCs w:val="0"/>
          <w:caps w:val="0"/>
          <w:color w:val="0F1115"/>
          <w:spacing w:val="0"/>
          <w:sz w:val="32"/>
          <w:szCs w:val="32"/>
          <w:highlight w:val="none"/>
          <w:shd w:val="clear" w:fill="FFFFFF"/>
          <w:lang w:val="en-US" w:eastAsia="zh-CN"/>
        </w:rPr>
        <w:t>1348个项目开展了监控填报，涉及资金90.57亿元</w:t>
      </w:r>
      <w:r>
        <w:rPr>
          <w:rFonts w:hint="eastAsia" w:ascii="方正仿宋_GB2312" w:hAnsi="方正仿宋_GB2312" w:eastAsia="方正仿宋_GB2312" w:cs="方正仿宋_GB2312"/>
          <w:i w:val="0"/>
          <w:iCs w:val="0"/>
          <w:caps w:val="0"/>
          <w:color w:val="0F1115"/>
          <w:spacing w:val="0"/>
          <w:sz w:val="32"/>
          <w:szCs w:val="32"/>
          <w:shd w:val="clear" w:fill="FFFFFF"/>
        </w:rPr>
        <w:t>。针对监控中发现的部分项目执行偏慢、绩效指标运行偏差等问题，及时向主管部门和项目实施单位反馈，督促其分析原因、加快执行或调整优化实施方案。通过对项目进展和资金使用效益的动态跟踪，强化了预算单位的支出责任和绩效意识，促进了财政资金安全、规范、高效使用，保障了既定政策目标和绩效目标的顺利实现。</w:t>
      </w:r>
    </w:p>
    <w:p w14:paraId="457D174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宋体" w:hAnsi="宋体" w:eastAsia="宋体" w:cs="宋体"/>
          <w:sz w:val="32"/>
          <w:szCs w:val="32"/>
        </w:rPr>
      </w:pP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重视结果，实施绩效评价管理。按照“实事求是、公平公正、奖优罚劣”的原则，对突出体现部门职能职责以及民生保障、公共服务、生态保护等项目认真总结分析，应用于以后年度的预算编制。</w:t>
      </w:r>
      <w:r>
        <w:rPr>
          <w:rFonts w:hint="eastAsia" w:ascii="仿宋_GB2312" w:hAnsi="仿宋_GB2312" w:eastAsia="仿宋_GB2312" w:cs="仿宋_GB2312"/>
          <w:bCs/>
          <w:sz w:val="32"/>
          <w:szCs w:val="32"/>
          <w:lang w:val="en-US" w:eastAsia="zh-CN"/>
        </w:rPr>
        <w:t>202</w:t>
      </w:r>
      <w:r>
        <w:rPr>
          <w:rFonts w:hint="eastAsia" w:ascii="仿宋_GB2312" w:hAnsi="仿宋_GB2312" w:cs="仿宋_GB2312"/>
          <w:bCs/>
          <w:sz w:val="32"/>
          <w:szCs w:val="32"/>
          <w:lang w:val="en-US" w:eastAsia="zh-CN"/>
        </w:rPr>
        <w:t>5</w:t>
      </w:r>
      <w:r>
        <w:rPr>
          <w:rFonts w:hint="eastAsia" w:ascii="仿宋_GB2312" w:hAnsi="仿宋_GB2312" w:eastAsia="仿宋_GB2312" w:cs="仿宋_GB2312"/>
          <w:bCs/>
          <w:sz w:val="32"/>
          <w:szCs w:val="32"/>
          <w:lang w:val="en-US" w:eastAsia="zh-CN"/>
        </w:rPr>
        <w:t>年度重点绩效评价工作优先选择贯彻落实党中央、国务院重大方针政策和决策部署、自治区党委和政府工作要求，以及覆盖面广、影响力大、社会关注度高、实施期长的项</w:t>
      </w:r>
      <w:bookmarkStart w:id="0" w:name="_GoBack"/>
      <w:bookmarkEnd w:id="0"/>
      <w:r>
        <w:rPr>
          <w:rFonts w:hint="eastAsia" w:ascii="仿宋_GB2312" w:hAnsi="仿宋_GB2312" w:eastAsia="仿宋_GB2312" w:cs="仿宋_GB2312"/>
          <w:sz w:val="32"/>
          <w:szCs w:val="32"/>
          <w:lang w:val="en-US" w:eastAsia="zh-CN"/>
        </w:rPr>
        <w:t>目，共计开展重点评价101个项</w:t>
      </w:r>
      <w:r>
        <w:rPr>
          <w:rFonts w:hint="eastAsia" w:ascii="仿宋_GB2312" w:hAnsi="仿宋_GB2312" w:eastAsia="仿宋_GB2312" w:cs="仿宋_GB2312"/>
          <w:b w:val="0"/>
          <w:bCs w:val="0"/>
          <w:sz w:val="32"/>
          <w:szCs w:val="32"/>
        </w:rPr>
        <w:t>目</w:t>
      </w:r>
      <w:r>
        <w:rPr>
          <w:rFonts w:hint="eastAsia" w:ascii="仿宋_GB2312" w:hAnsi="仿宋_GB2312" w:cs="仿宋_GB2312"/>
          <w:b w:val="0"/>
          <w:bCs w:val="0"/>
          <w:sz w:val="32"/>
          <w:szCs w:val="32"/>
          <w:lang w:eastAsia="zh-CN"/>
        </w:rPr>
        <w:t>，</w:t>
      </w:r>
      <w:r>
        <w:rPr>
          <w:rFonts w:hint="eastAsia" w:ascii="仿宋_GB2312" w:hAnsi="仿宋_GB2312" w:cs="仿宋_GB2312"/>
          <w:b w:val="0"/>
          <w:bCs w:val="0"/>
          <w:sz w:val="32"/>
          <w:szCs w:val="32"/>
          <w:lang w:val="en-US" w:eastAsia="zh-CN"/>
        </w:rPr>
        <w:t>涉及项目资</w:t>
      </w:r>
      <w:r>
        <w:rPr>
          <w:rFonts w:hint="eastAsia" w:ascii="仿宋_GB2312" w:hAnsi="仿宋_GB2312" w:eastAsia="仿宋_GB2312" w:cs="仿宋_GB2312"/>
          <w:bCs/>
          <w:sz w:val="32"/>
          <w:szCs w:val="32"/>
          <w:lang w:val="en-US" w:eastAsia="zh-CN"/>
        </w:rPr>
        <w:t>金26.26亿元。</w:t>
      </w:r>
    </w:p>
    <w:p w14:paraId="4AE2DC8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五是</w:t>
      </w:r>
      <w:r>
        <w:rPr>
          <w:rFonts w:hint="eastAsia" w:ascii="仿宋_GB2312" w:hAnsi="仿宋_GB2312" w:eastAsia="仿宋_GB2312" w:cs="仿宋_GB2312"/>
          <w:bCs/>
          <w:kern w:val="2"/>
          <w:sz w:val="32"/>
          <w:szCs w:val="32"/>
          <w:lang w:val="en-US" w:eastAsia="zh-CN" w:bidi="ar-SA"/>
        </w:rPr>
        <w:t>公开透明，强化绩效信息公开。大</w:t>
      </w:r>
      <w:r>
        <w:rPr>
          <w:rFonts w:hint="eastAsia" w:ascii="仿宋_GB2312" w:hAnsi="仿宋_GB2312" w:eastAsia="仿宋_GB2312" w:cs="仿宋_GB2312"/>
          <w:sz w:val="32"/>
          <w:szCs w:val="32"/>
          <w:lang w:val="en-US" w:eastAsia="zh-CN"/>
        </w:rPr>
        <w:t>力推进绩效信息公开，除涉密部门及项目外所有项目绩效目标及项目绩效评价结果与预决算同步向社会公开，自觉接受社会各界监督。实行评价结果报告和公开制度，重大政策和项目绩效目标随同预算草案同步报送同级人大，绩效自评报告随同决算草案同步报送同级人大，财政绩效评价结果报送同级人大，并在巴彦淖尔市财政局门户网公开财政绩效评价结果，广泛接受社会监督，提高预算绩效信息的透明度。</w:t>
      </w:r>
    </w:p>
    <w:p w14:paraId="377CDFED"/>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4A1B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B5B94">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BCB5B94">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AD2B82"/>
    <w:rsid w:val="15E364BC"/>
    <w:rsid w:val="285919D0"/>
    <w:rsid w:val="33BC14B2"/>
    <w:rsid w:val="38095506"/>
    <w:rsid w:val="580F50A7"/>
    <w:rsid w:val="719F2D14"/>
    <w:rsid w:val="777728A5"/>
    <w:rsid w:val="78AD2B82"/>
    <w:rsid w:val="7E637E9E"/>
    <w:rsid w:val="F7DE14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rPr>
      <w:sz w:val="24"/>
    </w:rPr>
  </w:style>
  <w:style w:type="paragraph" w:styleId="5">
    <w:name w:val="Title"/>
    <w:basedOn w:val="1"/>
    <w:next w:val="1"/>
    <w:qFormat/>
    <w:uiPriority w:val="0"/>
    <w:pPr>
      <w:jc w:val="center"/>
      <w:outlineLvl w:val="0"/>
    </w:pPr>
    <w:rPr>
      <w:rFonts w:ascii="Arial" w:hAnsi="Arial"/>
      <w:b/>
    </w:rPr>
  </w:style>
  <w:style w:type="paragraph" w:styleId="6">
    <w:name w:val="Body Text First Indent"/>
    <w:basedOn w:val="2"/>
    <w:unhideWhenUsed/>
    <w:qFormat/>
    <w:uiPriority w:val="99"/>
    <w:pPr>
      <w:ind w:firstLine="420" w:firstLineChars="100"/>
    </w:p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1406</Words>
  <Characters>1473</Characters>
  <Lines>0</Lines>
  <Paragraphs>0</Paragraphs>
  <TotalTime>5</TotalTime>
  <ScaleCrop>false</ScaleCrop>
  <LinksUpToDate>false</LinksUpToDate>
  <CharactersWithSpaces>1474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2024-08-20T17:13:00Z</dcterms:created>
  <dc:creator>WT</dc:creator>
  <cp:lastModifiedBy>小崔</cp:lastModifiedBy>
  <dcterms:modified xsi:type="dcterms:W3CDTF">2026-08-26T08:55:33Z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101C6E0C02D3B1F5159E8E6A6404FB63_43</vt:lpwstr>
  </property>
  <property fmtid="{D5CDD505-2E9C-101B-9397-08002B2CF9AE}" pid="4" name="KSOTemplateDocerSaveRecord">
    <vt:lpwstr>eyJoZGlkIjoiMmU5ZDJkNTZkMTM2ZjMwMTc5OGU2MzBkYThhNjYwZTgiLCJ1c2VySWQiOiIxMDI5Mzg5NTg0In0=</vt:lpwstr>
  </property>
</Properties>
</file>