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Times New Roman" w:hAnsi="Times New Roman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b w:val="0"/>
          <w:bCs/>
          <w:sz w:val="44"/>
          <w:szCs w:val="44"/>
        </w:rPr>
        <w:t>202</w:t>
      </w:r>
      <w:r>
        <w:rPr>
          <w:rFonts w:hint="eastAsia" w:eastAsia="方正小标宋简体" w:cs="方正小标宋简体"/>
          <w:b w:val="0"/>
          <w:bCs/>
          <w:sz w:val="44"/>
          <w:szCs w:val="44"/>
          <w:lang w:val="en-US" w:eastAsia="zh-CN"/>
        </w:rPr>
        <w:t>5</w:t>
      </w:r>
      <w:r>
        <w:rPr>
          <w:rFonts w:hint="eastAsia" w:ascii="Times New Roman" w:hAnsi="Times New Roman" w:eastAsia="方正小标宋简体" w:cs="方正小标宋简体"/>
          <w:b w:val="0"/>
          <w:bCs/>
          <w:sz w:val="44"/>
          <w:szCs w:val="44"/>
        </w:rPr>
        <w:t>年地方政府债务情况说明</w:t>
      </w:r>
    </w:p>
    <w:p>
      <w:pPr>
        <w:spacing w:line="360" w:lineRule="auto"/>
        <w:jc w:val="both"/>
        <w:rPr>
          <w:rFonts w:ascii="Times New Roman" w:hAnsi="Times New Roman" w:eastAsia="黑体"/>
          <w:sz w:val="24"/>
        </w:rPr>
      </w:pPr>
      <w:bookmarkStart w:id="0" w:name="_GoBack"/>
      <w:bookmarkEnd w:id="0"/>
    </w:p>
    <w:p>
      <w:pPr>
        <w:spacing w:line="360" w:lineRule="auto"/>
        <w:ind w:firstLine="640" w:firstLineChars="200"/>
        <w:jc w:val="both"/>
        <w:rPr>
          <w:rFonts w:ascii="Times New Roman" w:hAnsi="Times New Roman" w:eastAsia="黑体"/>
          <w:sz w:val="32"/>
          <w:szCs w:val="32"/>
          <w:highlight w:val="none"/>
        </w:rPr>
      </w:pPr>
      <w:r>
        <w:rPr>
          <w:rFonts w:hint="eastAsia" w:ascii="Times New Roman" w:hAnsi="Times New Roman" w:eastAsia="黑体"/>
          <w:sz w:val="32"/>
          <w:szCs w:val="32"/>
          <w:highlight w:val="none"/>
        </w:rPr>
        <w:t>一、全</w:t>
      </w:r>
      <w:r>
        <w:rPr>
          <w:rFonts w:hint="eastAsia" w:eastAsia="黑体"/>
          <w:sz w:val="32"/>
          <w:szCs w:val="32"/>
          <w:highlight w:val="none"/>
          <w:lang w:val="en-US" w:eastAsia="zh-CN"/>
        </w:rPr>
        <w:t>市</w:t>
      </w:r>
      <w:r>
        <w:rPr>
          <w:rFonts w:hint="eastAsia" w:ascii="Times New Roman" w:hAnsi="Times New Roman" w:eastAsia="黑体"/>
          <w:sz w:val="32"/>
          <w:szCs w:val="32"/>
          <w:highlight w:val="none"/>
        </w:rPr>
        <w:t>政府债务有关情况</w:t>
      </w:r>
    </w:p>
    <w:p>
      <w:pPr>
        <w:spacing w:line="360" w:lineRule="auto"/>
        <w:ind w:firstLine="630" w:firstLineChars="196"/>
        <w:jc w:val="both"/>
        <w:rPr>
          <w:rFonts w:ascii="Times New Roman" w:hAnsi="Times New Roman" w:eastAsia="仿宋_GB2312"/>
          <w:sz w:val="32"/>
          <w:szCs w:val="32"/>
          <w:highlight w:val="none"/>
        </w:rPr>
      </w:pPr>
      <w:r>
        <w:rPr>
          <w:rFonts w:hint="eastAsia" w:ascii="Times New Roman" w:hAnsi="Times New Roman" w:eastAsia="楷体_GB2312" w:cs="楷体_GB2312"/>
          <w:b/>
          <w:sz w:val="32"/>
          <w:szCs w:val="32"/>
          <w:highlight w:val="none"/>
        </w:rPr>
        <w:t>（一）全</w:t>
      </w:r>
      <w:r>
        <w:rPr>
          <w:rFonts w:hint="eastAsia" w:eastAsia="楷体_GB2312" w:cs="楷体_GB2312"/>
          <w:b/>
          <w:sz w:val="32"/>
          <w:szCs w:val="32"/>
          <w:highlight w:val="none"/>
          <w:lang w:val="en-US" w:eastAsia="zh-CN"/>
        </w:rPr>
        <w:t>市</w:t>
      </w:r>
      <w:r>
        <w:rPr>
          <w:rFonts w:hint="eastAsia" w:ascii="Times New Roman" w:hAnsi="Times New Roman" w:eastAsia="楷体_GB2312" w:cs="楷体_GB2312"/>
          <w:b/>
          <w:sz w:val="32"/>
          <w:szCs w:val="32"/>
          <w:highlight w:val="none"/>
        </w:rPr>
        <w:t>政府债务限额情况。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财政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厅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核定下达我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市</w:t>
      </w:r>
      <w:r>
        <w:rPr>
          <w:rFonts w:ascii="Times New Roman" w:hAnsi="Times New Roman" w:eastAsia="仿宋_GB2312"/>
          <w:sz w:val="32"/>
          <w:szCs w:val="32"/>
          <w:highlight w:val="none"/>
        </w:rPr>
        <w:t>202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年地方政府债务限额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771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亿元其中：地方政府一般债务限额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418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亿元，地方政府专项债务限额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353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亿元。</w:t>
      </w:r>
    </w:p>
    <w:p>
      <w:pPr>
        <w:spacing w:line="360" w:lineRule="auto"/>
        <w:ind w:firstLine="643" w:firstLineChars="200"/>
        <w:jc w:val="both"/>
        <w:rPr>
          <w:rFonts w:ascii="Times New Roman" w:hAnsi="Times New Roman" w:eastAsia="仿宋_GB2312"/>
          <w:sz w:val="32"/>
          <w:szCs w:val="32"/>
          <w:highlight w:val="none"/>
        </w:rPr>
      </w:pPr>
      <w:r>
        <w:rPr>
          <w:rFonts w:hint="eastAsia" w:ascii="Times New Roman" w:hAnsi="Times New Roman" w:eastAsia="楷体_GB2312" w:cs="楷体_GB2312"/>
          <w:b/>
          <w:sz w:val="32"/>
          <w:szCs w:val="32"/>
          <w:highlight w:val="none"/>
        </w:rPr>
        <w:t>（二）全</w:t>
      </w:r>
      <w:r>
        <w:rPr>
          <w:rFonts w:hint="eastAsia" w:eastAsia="楷体_GB2312" w:cs="楷体_GB2312"/>
          <w:b/>
          <w:sz w:val="32"/>
          <w:szCs w:val="32"/>
          <w:highlight w:val="none"/>
          <w:lang w:val="en-US" w:eastAsia="zh-CN"/>
        </w:rPr>
        <w:t>市</w:t>
      </w:r>
      <w:r>
        <w:rPr>
          <w:rFonts w:hint="eastAsia" w:ascii="Times New Roman" w:hAnsi="Times New Roman" w:eastAsia="楷体_GB2312" w:cs="楷体_GB2312"/>
          <w:b/>
          <w:sz w:val="32"/>
          <w:szCs w:val="32"/>
          <w:highlight w:val="none"/>
        </w:rPr>
        <w:t>政府债务情况。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截至</w:t>
      </w:r>
      <w:r>
        <w:rPr>
          <w:rFonts w:ascii="Times New Roman" w:hAnsi="Times New Roman" w:eastAsia="仿宋_GB2312"/>
          <w:sz w:val="32"/>
          <w:szCs w:val="32"/>
          <w:highlight w:val="none"/>
        </w:rPr>
        <w:t>202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年底，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全市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政府债务余额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为</w:t>
      </w:r>
      <w:r>
        <w:rPr>
          <w:rFonts w:hint="eastAsia" w:eastAsia="仿宋_GB2312"/>
          <w:color w:val="auto"/>
          <w:sz w:val="32"/>
          <w:szCs w:val="32"/>
          <w:highlight w:val="none"/>
          <w:lang w:val="en-US" w:eastAsia="zh-CN"/>
        </w:rPr>
        <w:t>736.92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亿元。</w:t>
      </w:r>
      <w:r>
        <w:rPr>
          <w:rFonts w:hint="eastAsia" w:ascii="Times New Roman" w:hAnsi="Times New Roman" w:eastAsia="仿宋_GB2312"/>
          <w:b/>
          <w:color w:val="auto"/>
          <w:sz w:val="32"/>
          <w:szCs w:val="32"/>
          <w:highlight w:val="none"/>
        </w:rPr>
        <w:t>从政府层级看，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市本级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含开发区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、旗县政府债务分别为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156.03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亿元、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580.89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亿元，分别占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21.17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%、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78.83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%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。</w:t>
      </w:r>
      <w:r>
        <w:rPr>
          <w:rFonts w:hint="eastAsia" w:ascii="Times New Roman" w:hAnsi="Times New Roman" w:eastAsia="仿宋_GB2312"/>
          <w:b/>
          <w:color w:val="auto"/>
          <w:sz w:val="32"/>
          <w:szCs w:val="32"/>
          <w:highlight w:val="none"/>
        </w:rPr>
        <w:t>从资金来源看，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发行政府债券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736.44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亿元，占99.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93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%；外国政府贷款等其他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债务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0.48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亿元，占0.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07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%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。</w:t>
      </w:r>
      <w:r>
        <w:rPr>
          <w:rFonts w:hint="eastAsia" w:ascii="Times New Roman" w:hAnsi="Times New Roman" w:eastAsia="仿宋_GB2312"/>
          <w:b/>
          <w:sz w:val="32"/>
          <w:szCs w:val="32"/>
          <w:highlight w:val="none"/>
        </w:rPr>
        <w:t>从未来偿还情况来看，</w:t>
      </w:r>
      <w:r>
        <w:rPr>
          <w:rFonts w:ascii="Times New Roman" w:hAnsi="Times New Roman" w:eastAsia="仿宋_GB2312"/>
          <w:sz w:val="32"/>
          <w:szCs w:val="32"/>
          <w:highlight w:val="none"/>
        </w:rPr>
        <w:t>202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年为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19.45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亿元，</w:t>
      </w:r>
      <w:r>
        <w:rPr>
          <w:rFonts w:ascii="Times New Roman" w:hAnsi="Times New Roman" w:eastAsia="仿宋_GB2312"/>
          <w:sz w:val="32"/>
          <w:szCs w:val="32"/>
          <w:highlight w:val="none"/>
        </w:rPr>
        <w:t>202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年及以后年度为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717.47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亿元。</w:t>
      </w:r>
      <w:r>
        <w:rPr>
          <w:rFonts w:hint="eastAsia" w:ascii="Times New Roman" w:hAnsi="Times New Roman" w:eastAsia="仿宋_GB2312"/>
          <w:b/>
          <w:sz w:val="32"/>
          <w:szCs w:val="32"/>
          <w:highlight w:val="none"/>
        </w:rPr>
        <w:t>从资金投向看，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主要用于市政建设、科教文卫、土地收储、保障性住房、交通运输、农林水利、生态建设和环境保护等项目，较好地保证了地方经济社会发展的资金需要，推动了民生改善和社会事业发展，</w:t>
      </w:r>
      <w:r>
        <w:rPr>
          <w:rFonts w:hint="eastAsia" w:ascii="Times New Roman" w:hAnsi="Times New Roman" w:eastAsia="仿宋_GB2312" w:cs="Times New Roman"/>
          <w:sz w:val="30"/>
          <w:szCs w:val="30"/>
          <w:highlight w:val="none"/>
        </w:rPr>
        <w:t>同时形成了一定规模的优质资产，大多有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经营收入作为偿债来源，可在一定程度上保障相关债务的偿还。</w:t>
      </w:r>
    </w:p>
    <w:p>
      <w:pPr>
        <w:pStyle w:val="6"/>
        <w:widowControl/>
        <w:spacing w:before="0" w:beforeAutospacing="0" w:after="0" w:afterAutospacing="0"/>
        <w:ind w:firstLine="643" w:firstLineChars="200"/>
        <w:jc w:val="both"/>
        <w:rPr>
          <w:rFonts w:ascii="Times New Roman" w:hAnsi="Times New Roman" w:eastAsia="仿宋_GB2312"/>
          <w:sz w:val="32"/>
          <w:szCs w:val="32"/>
          <w:highlight w:val="none"/>
        </w:rPr>
      </w:pPr>
      <w:r>
        <w:rPr>
          <w:rFonts w:hint="eastAsia" w:ascii="Times New Roman" w:hAnsi="Times New Roman" w:eastAsia="楷体_GB2312" w:cs="楷体_GB2312"/>
          <w:b/>
          <w:kern w:val="2"/>
          <w:sz w:val="32"/>
          <w:szCs w:val="32"/>
          <w:highlight w:val="none"/>
          <w:lang w:val="en-US" w:eastAsia="zh-CN" w:bidi="ar-SA"/>
        </w:rPr>
        <w:t>（三）</w:t>
      </w:r>
      <w:r>
        <w:rPr>
          <w:rFonts w:hint="eastAsia" w:eastAsia="楷体_GB2312" w:cs="楷体_GB2312"/>
          <w:b/>
          <w:kern w:val="2"/>
          <w:sz w:val="32"/>
          <w:szCs w:val="32"/>
          <w:highlight w:val="none"/>
          <w:lang w:val="en-US" w:eastAsia="zh-CN" w:bidi="ar-SA"/>
        </w:rPr>
        <w:t>市</w:t>
      </w:r>
      <w:r>
        <w:rPr>
          <w:rFonts w:hint="eastAsia" w:ascii="Times New Roman" w:hAnsi="Times New Roman" w:eastAsia="楷体_GB2312" w:cs="楷体_GB2312"/>
          <w:b/>
          <w:kern w:val="2"/>
          <w:sz w:val="32"/>
          <w:szCs w:val="32"/>
          <w:highlight w:val="none"/>
          <w:lang w:val="en-US" w:eastAsia="zh-CN" w:bidi="ar-SA"/>
        </w:rPr>
        <w:t>本级</w:t>
      </w:r>
      <w:r>
        <w:rPr>
          <w:rFonts w:hint="eastAsia" w:eastAsia="楷体_GB2312" w:cs="楷体_GB2312"/>
          <w:b/>
          <w:kern w:val="2"/>
          <w:sz w:val="32"/>
          <w:szCs w:val="32"/>
          <w:highlight w:val="none"/>
          <w:lang w:val="en-US" w:eastAsia="zh-CN" w:bidi="ar-SA"/>
        </w:rPr>
        <w:t>（含开发区）</w:t>
      </w:r>
      <w:r>
        <w:rPr>
          <w:rFonts w:hint="eastAsia" w:ascii="Times New Roman" w:hAnsi="Times New Roman" w:eastAsia="楷体_GB2312" w:cs="楷体_GB2312"/>
          <w:b/>
          <w:kern w:val="2"/>
          <w:sz w:val="32"/>
          <w:szCs w:val="32"/>
          <w:highlight w:val="none"/>
          <w:lang w:val="en-US" w:eastAsia="zh-CN" w:bidi="ar-SA"/>
        </w:rPr>
        <w:t>政府债务情况。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截至202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年末，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市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本级政府债务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156.02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亿元，占全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市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的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21.17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%。从资金使用方向上看，主要用于公路、教科文卫、保障性住房、农林水利建设、中小银行风险化解、市政建设等。</w:t>
      </w:r>
    </w:p>
    <w:p>
      <w:pPr>
        <w:spacing w:line="360" w:lineRule="auto"/>
        <w:ind w:firstLine="643" w:firstLineChars="200"/>
        <w:jc w:val="both"/>
        <w:rPr>
          <w:rFonts w:ascii="Times New Roman" w:hAnsi="Times New Roman" w:eastAsia="仿宋_GB2312"/>
          <w:sz w:val="32"/>
          <w:szCs w:val="32"/>
          <w:highlight w:val="none"/>
        </w:rPr>
      </w:pPr>
      <w:r>
        <w:rPr>
          <w:rFonts w:hint="eastAsia" w:ascii="Times New Roman" w:hAnsi="Times New Roman" w:eastAsia="楷体_GB2312" w:cs="楷体_GB2312"/>
          <w:b/>
          <w:sz w:val="32"/>
          <w:szCs w:val="32"/>
          <w:highlight w:val="none"/>
        </w:rPr>
        <w:t>（四）政府债券发行情况。</w:t>
      </w:r>
      <w:r>
        <w:rPr>
          <w:rFonts w:hint="eastAsia" w:ascii="Times New Roman" w:hAnsi="Times New Roman" w:eastAsia="楷体_GB2312" w:cs="楷体_GB2312"/>
          <w:b w:val="0"/>
          <w:bCs/>
          <w:sz w:val="32"/>
          <w:szCs w:val="32"/>
          <w:highlight w:val="none"/>
        </w:rPr>
        <w:t>2</w:t>
      </w:r>
      <w:r>
        <w:rPr>
          <w:rFonts w:hint="eastAsia" w:ascii="Times New Roman" w:hAnsi="Times New Roman" w:eastAsia="仿宋_GB2312"/>
          <w:b w:val="0"/>
          <w:bCs/>
          <w:sz w:val="32"/>
          <w:szCs w:val="32"/>
          <w:highlight w:val="none"/>
        </w:rPr>
        <w:t>02</w:t>
      </w:r>
      <w:r>
        <w:rPr>
          <w:rFonts w:hint="eastAsia" w:eastAsia="仿宋_GB2312"/>
          <w:b w:val="0"/>
          <w:bCs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Times New Roman" w:hAnsi="Times New Roman" w:eastAsia="仿宋_GB2312"/>
          <w:b w:val="0"/>
          <w:bCs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，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自治区代理我市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发行政府债券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138.18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亿元。</w:t>
      </w:r>
      <w:r>
        <w:rPr>
          <w:rFonts w:hint="eastAsia" w:ascii="Times New Roman" w:hAnsi="Times New Roman" w:eastAsia="仿宋_GB2312"/>
          <w:b/>
          <w:sz w:val="32"/>
          <w:szCs w:val="32"/>
          <w:highlight w:val="none"/>
        </w:rPr>
        <w:t>从债券类型看，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一般债券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74.39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亿元，占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53.84</w:t>
      </w:r>
      <w:r>
        <w:rPr>
          <w:rFonts w:ascii="Times New Roman" w:hAnsi="Times New Roman" w:eastAsia="仿宋_GB2312"/>
          <w:sz w:val="32"/>
          <w:szCs w:val="32"/>
          <w:highlight w:val="none"/>
        </w:rPr>
        <w:t>%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；专项债券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63.79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亿元，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46.16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占</w:t>
      </w:r>
      <w:r>
        <w:rPr>
          <w:rFonts w:ascii="Times New Roman" w:hAnsi="Times New Roman" w:eastAsia="仿宋_GB2312"/>
          <w:sz w:val="32"/>
          <w:szCs w:val="32"/>
          <w:highlight w:val="none"/>
        </w:rPr>
        <w:t>%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。</w:t>
      </w:r>
      <w:r>
        <w:rPr>
          <w:rFonts w:hint="eastAsia" w:ascii="Times New Roman" w:hAnsi="Times New Roman" w:eastAsia="仿宋_GB2312"/>
          <w:b/>
          <w:sz w:val="32"/>
          <w:szCs w:val="32"/>
          <w:highlight w:val="none"/>
        </w:rPr>
        <w:t>从债券性质看，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新增政府债券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41.72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亿元，占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30.19</w:t>
      </w:r>
      <w:r>
        <w:rPr>
          <w:rFonts w:ascii="Times New Roman" w:hAnsi="Times New Roman" w:eastAsia="仿宋_GB2312"/>
          <w:sz w:val="32"/>
          <w:szCs w:val="32"/>
          <w:highlight w:val="none"/>
        </w:rPr>
        <w:t>%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；</w:t>
      </w:r>
      <w:r>
        <w:rPr>
          <w:rFonts w:hint="eastAsia" w:ascii="Times New Roman" w:hAnsi="Times New Roman" w:eastAsia="仿宋_GB2312"/>
          <w:sz w:val="32"/>
          <w:szCs w:val="32"/>
          <w:highlight w:val="none"/>
          <w:lang w:val="en-US" w:eastAsia="zh-CN"/>
        </w:rPr>
        <w:t>再融资债券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96.46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亿元，占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69.81</w:t>
      </w:r>
      <w:r>
        <w:rPr>
          <w:rFonts w:ascii="Times New Roman" w:hAnsi="Times New Roman" w:eastAsia="仿宋_GB2312"/>
          <w:sz w:val="32"/>
          <w:szCs w:val="32"/>
          <w:highlight w:val="none"/>
        </w:rPr>
        <w:t>%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。</w:t>
      </w:r>
    </w:p>
    <w:p>
      <w:pPr>
        <w:spacing w:line="360" w:lineRule="auto"/>
        <w:ind w:firstLine="640" w:firstLineChars="200"/>
        <w:jc w:val="both"/>
        <w:rPr>
          <w:rFonts w:ascii="Times New Roman" w:hAnsi="Times New Roman" w:eastAsia="黑体"/>
          <w:sz w:val="32"/>
          <w:szCs w:val="32"/>
          <w:highlight w:val="none"/>
        </w:rPr>
      </w:pPr>
      <w:r>
        <w:rPr>
          <w:rFonts w:hint="eastAsia" w:ascii="Times New Roman" w:hAnsi="Times New Roman" w:eastAsia="黑体"/>
          <w:sz w:val="32"/>
          <w:szCs w:val="32"/>
          <w:highlight w:val="none"/>
        </w:rPr>
        <w:t>二、全</w:t>
      </w:r>
      <w:r>
        <w:rPr>
          <w:rFonts w:hint="eastAsia" w:eastAsia="黑体"/>
          <w:sz w:val="32"/>
          <w:szCs w:val="32"/>
          <w:highlight w:val="none"/>
          <w:lang w:val="en-US" w:eastAsia="zh-CN"/>
        </w:rPr>
        <w:t>市</w:t>
      </w:r>
      <w:r>
        <w:rPr>
          <w:rFonts w:ascii="Times New Roman" w:hAnsi="Times New Roman" w:eastAsia="黑体"/>
          <w:sz w:val="32"/>
          <w:szCs w:val="32"/>
          <w:highlight w:val="none"/>
        </w:rPr>
        <w:t>20</w:t>
      </w:r>
      <w:r>
        <w:rPr>
          <w:rFonts w:hint="eastAsia" w:ascii="Times New Roman" w:hAnsi="Times New Roman" w:eastAsia="黑体"/>
          <w:sz w:val="32"/>
          <w:szCs w:val="32"/>
          <w:highlight w:val="none"/>
          <w:lang w:val="en-US" w:eastAsia="zh-CN"/>
        </w:rPr>
        <w:t>2</w:t>
      </w:r>
      <w:r>
        <w:rPr>
          <w:rFonts w:hint="eastAsia" w:eastAsia="黑体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Times New Roman" w:hAnsi="Times New Roman" w:eastAsia="黑体"/>
          <w:sz w:val="32"/>
          <w:szCs w:val="32"/>
          <w:highlight w:val="none"/>
        </w:rPr>
        <w:t>年政府债务管理工作具体措施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00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firstLine="643" w:firstLineChars="200"/>
        <w:jc w:val="both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highlight w:val="none"/>
          <w:lang w:val="en-US" w:eastAsia="zh-CN" w:bidi="ar"/>
        </w:rPr>
        <w:t>（一）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超额完成年度债务化解任务。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2025年，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超额完成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隐性债务化解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年度目标任务及拖欠企业账款清偿任务，债务风险防控成效持续显现。</w:t>
      </w:r>
    </w:p>
    <w:p>
      <w:pPr>
        <w:ind w:firstLine="643" w:firstLineChars="200"/>
        <w:jc w:val="both"/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highlight w:val="none"/>
          <w:lang w:val="en-US" w:eastAsia="zh-CN" w:bidi="ar"/>
        </w:rPr>
        <w:t>（二）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2025年全市共争取地方政府债券138.18亿元，其中，争取置换债券额度96.46亿元，争取新增政府债券41.72亿元。全力保障包银高铁项目、“温暖工程”、科教文卫、农林水利、市政基础设施等公益性项目、民生项目建设，有效弥补了基层财力不足。同时争取自治区“四个一批”化债资金0.06亿元。</w:t>
      </w:r>
    </w:p>
    <w:p>
      <w:pPr>
        <w:ind w:firstLine="643" w:firstLineChars="200"/>
        <w:jc w:val="both"/>
        <w:rPr>
          <w:rFonts w:hint="eastAsia" w:eastAsia="仿宋_GB2312" w:cs="Times New Roman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highlight w:val="none"/>
          <w:lang w:val="en-US" w:eastAsia="zh-CN" w:bidi="ar"/>
        </w:rPr>
        <w:t>（三）</w:t>
      </w:r>
      <w:r>
        <w:rPr>
          <w:rFonts w:hint="eastAsia" w:eastAsia="仿宋_GB2312" w:cs="Times New Roman"/>
          <w:kern w:val="0"/>
          <w:sz w:val="32"/>
          <w:szCs w:val="32"/>
          <w:highlight w:val="none"/>
          <w:lang w:val="en-US" w:eastAsia="zh-CN" w:bidi="ar"/>
        </w:rPr>
        <w:t>贯彻落实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《内蒙古自治区进一步落实过紧日子要求防范化解债务风险实施办法》、《内蒙古自治区健全解决拖欠企业账款问题长效机制工作方案》、《内蒙古自治区全口径地方债务监测工作实施方案》</w:t>
      </w:r>
      <w:r>
        <w:rPr>
          <w:rFonts w:hint="eastAsia" w:eastAsia="仿宋_GB2312" w:cs="Times New Roman"/>
          <w:kern w:val="0"/>
          <w:sz w:val="32"/>
          <w:szCs w:val="32"/>
          <w:highlight w:val="none"/>
          <w:lang w:val="en-US" w:eastAsia="zh-CN" w:bidi="ar"/>
        </w:rPr>
        <w:t>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《内蒙古自治区新增地方政府专项债务限额分配暂行办法》、《内蒙古自治区新增专项债券发行项目竞争性评审办法》</w:t>
      </w:r>
      <w:r>
        <w:rPr>
          <w:rFonts w:hint="eastAsia" w:eastAsia="仿宋_GB2312" w:cs="Times New Roman"/>
          <w:kern w:val="0"/>
          <w:sz w:val="32"/>
          <w:szCs w:val="32"/>
          <w:highlight w:val="none"/>
          <w:lang w:val="en-US" w:eastAsia="zh-CN" w:bidi="ar"/>
        </w:rPr>
        <w:t>等文件要求。</w:t>
      </w:r>
    </w:p>
    <w:p>
      <w:pPr>
        <w:ind w:firstLine="643" w:firstLineChars="200"/>
        <w:jc w:val="both"/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highlight w:val="none"/>
          <w:lang w:val="en-US" w:eastAsia="zh-CN" w:bidi="ar"/>
        </w:rPr>
        <w:t>（四）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严格执行自治区严肃化债工作纪律的“八个不准”要求，坚决遏制新增隐性债务和不实化债，严防隐性债务“边化边增”，确保化债成果真实有效，经得起历史检验。指导</w:t>
      </w:r>
      <w:r>
        <w:rPr>
          <w:rFonts w:hint="eastAsia" w:eastAsia="仿宋_GB2312" w:cs="Times New Roman"/>
          <w:kern w:val="0"/>
          <w:sz w:val="32"/>
          <w:szCs w:val="32"/>
          <w:highlight w:val="none"/>
          <w:lang w:val="en-US" w:eastAsia="zh-CN" w:bidi="ar"/>
        </w:rPr>
        <w:t>旗县区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打好存量隐性债务问题“歼灭战”，推动审计、监管等发现的新增漏报隐性债务、不实化债问题大起底。加大隐性债务问题问责力度，推动隐性债务问题追责问责全覆盖。</w:t>
      </w:r>
    </w:p>
    <w:p>
      <w:pPr>
        <w:ind w:firstLine="640" w:firstLineChars="200"/>
        <w:jc w:val="both"/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</w:pPr>
    </w:p>
    <w:p>
      <w:pPr>
        <w:ind w:firstLine="708" w:firstLineChars="200"/>
        <w:jc w:val="both"/>
        <w:rPr>
          <w:rFonts w:hint="eastAsia" w:ascii="Times New Roman" w:hAnsi="Times New Roman" w:eastAsia="仿宋_GB2312" w:cs="仿宋_GB2312"/>
          <w:spacing w:val="17"/>
          <w:sz w:val="32"/>
          <w:szCs w:val="32"/>
        </w:rPr>
      </w:pPr>
    </w:p>
    <w:sectPr>
      <w:footerReference r:id="rId3" w:type="default"/>
      <w:pgSz w:w="11906" w:h="16838"/>
      <w:pgMar w:top="2098" w:right="1588" w:bottom="1985" w:left="1588" w:header="1191" w:footer="1588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- 1 -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4"/>
      <w:rPr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ZiMGI3YWFmNzFjNTZhYjI0ZGQ2NjJkM2U3YzNmNzUifQ=="/>
  </w:docVars>
  <w:rsids>
    <w:rsidRoot w:val="00AB4A9E"/>
    <w:rsid w:val="00074351"/>
    <w:rsid w:val="001177DA"/>
    <w:rsid w:val="0021432A"/>
    <w:rsid w:val="00266CCE"/>
    <w:rsid w:val="00271EFA"/>
    <w:rsid w:val="003C079A"/>
    <w:rsid w:val="004C4638"/>
    <w:rsid w:val="005665A0"/>
    <w:rsid w:val="007F1A08"/>
    <w:rsid w:val="00A2114E"/>
    <w:rsid w:val="00A70892"/>
    <w:rsid w:val="00AB4A9E"/>
    <w:rsid w:val="00AD35A5"/>
    <w:rsid w:val="00CF4297"/>
    <w:rsid w:val="00DF27B0"/>
    <w:rsid w:val="00E36D8A"/>
    <w:rsid w:val="00F1496A"/>
    <w:rsid w:val="00F34E3B"/>
    <w:rsid w:val="01F75C5E"/>
    <w:rsid w:val="0A8A36E0"/>
    <w:rsid w:val="0A951B84"/>
    <w:rsid w:val="0C0847C9"/>
    <w:rsid w:val="14A35CE8"/>
    <w:rsid w:val="1B0A7FC6"/>
    <w:rsid w:val="294D076E"/>
    <w:rsid w:val="33680B05"/>
    <w:rsid w:val="33D36D92"/>
    <w:rsid w:val="346352B7"/>
    <w:rsid w:val="3574317A"/>
    <w:rsid w:val="3BDFBC81"/>
    <w:rsid w:val="3F554F75"/>
    <w:rsid w:val="45F78075"/>
    <w:rsid w:val="46071071"/>
    <w:rsid w:val="4D045271"/>
    <w:rsid w:val="4EA508EC"/>
    <w:rsid w:val="69EA0C90"/>
    <w:rsid w:val="759F3204"/>
    <w:rsid w:val="75A46B35"/>
    <w:rsid w:val="9F9C9BA7"/>
    <w:rsid w:val="E7FC425B"/>
    <w:rsid w:val="FAD7BFA7"/>
    <w:rsid w:val="FB7D7A2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page number"/>
    <w:unhideWhenUsed/>
    <w:qFormat/>
    <w:uiPriority w:val="99"/>
    <w:rPr>
      <w:rFonts w:cs="Times New Roman"/>
    </w:rPr>
  </w:style>
  <w:style w:type="character" w:customStyle="1" w:styleId="10">
    <w:name w:val="批注框文本 Char"/>
    <w:link w:val="2"/>
    <w:qFormat/>
    <w:uiPriority w:val="0"/>
    <w:rPr>
      <w:kern w:val="2"/>
      <w:sz w:val="18"/>
      <w:szCs w:val="18"/>
    </w:rPr>
  </w:style>
  <w:style w:type="character" w:customStyle="1" w:styleId="11">
    <w:name w:val="页脚 Char"/>
    <w:link w:val="4"/>
    <w:qFormat/>
    <w:uiPriority w:val="99"/>
    <w:rPr>
      <w:kern w:val="2"/>
      <w:sz w:val="18"/>
      <w:szCs w:val="18"/>
    </w:rPr>
  </w:style>
  <w:style w:type="character" w:customStyle="1" w:styleId="12">
    <w:name w:val="页眉 Char"/>
    <w:link w:val="5"/>
    <w:qFormat/>
    <w:uiPriority w:val="0"/>
    <w:rPr>
      <w:kern w:val="2"/>
      <w:sz w:val="18"/>
      <w:szCs w:val="18"/>
    </w:rPr>
  </w:style>
  <w:style w:type="paragraph" w:customStyle="1" w:styleId="13">
    <w:name w:val="_Style 3"/>
    <w:basedOn w:val="1"/>
    <w:unhideWhenUsed/>
    <w:qFormat/>
    <w:uiPriority w:val="99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3</Pages>
  <Words>1215</Words>
  <Characters>1373</Characters>
  <Lines>11</Lines>
  <Paragraphs>3</Paragraphs>
  <TotalTime>6</TotalTime>
  <ScaleCrop>false</ScaleCrop>
  <LinksUpToDate>false</LinksUpToDate>
  <CharactersWithSpaces>1373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2021-12-23T17:45:00Z</dcterms:created>
  <dc:creator>王宇东(王宇东:办结)</dc:creator>
  <cp:lastModifiedBy>Administrator</cp:lastModifiedBy>
  <cp:lastPrinted>2024-07-30T11:33:00Z</cp:lastPrinted>
  <dcterms:modified xsi:type="dcterms:W3CDTF">2026-08-24T10:06:31Z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03316C6CAA964062889F8E0EB2EC5BDB_12</vt:lpwstr>
  </property>
</Properties>
</file>